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E0" w:rsidRDefault="00714720">
      <w:pPr>
        <w:rPr>
          <w:rFonts w:ascii="Verdana" w:hAnsi="Verdana"/>
          <w:b/>
          <w:bCs/>
          <w:color w:val="FF6600"/>
          <w:sz w:val="18"/>
          <w:szCs w:val="18"/>
        </w:rPr>
      </w:pPr>
      <w:r>
        <w:rPr>
          <w:rFonts w:ascii="Verdana" w:hAnsi="Verdana"/>
          <w:b/>
          <w:bCs/>
          <w:color w:val="FF6600"/>
          <w:sz w:val="18"/>
          <w:szCs w:val="18"/>
        </w:rPr>
        <w:t>Health Expenditure of ASEAN Countries</w:t>
      </w:r>
    </w:p>
    <w:p w:rsidR="00714720" w:rsidRPr="00714720" w:rsidRDefault="00714720" w:rsidP="00714720">
      <w:pPr>
        <w:spacing w:before="100" w:beforeAutospacing="1" w:after="100" w:afterAutospacing="1" w:line="240" w:lineRule="auto"/>
        <w:rPr>
          <w:rFonts w:ascii="Verdana" w:eastAsia="Times New Roman" w:hAnsi="Verdana" w:cs="Times New Roman"/>
          <w:color w:val="000000"/>
          <w:sz w:val="18"/>
          <w:szCs w:val="18"/>
        </w:rPr>
      </w:pPr>
      <w:r w:rsidRPr="00714720">
        <w:rPr>
          <w:rFonts w:ascii="Verdana" w:eastAsia="Times New Roman" w:hAnsi="Verdana" w:cs="Times New Roman"/>
          <w:color w:val="000000"/>
          <w:sz w:val="18"/>
          <w:szCs w:val="18"/>
        </w:rPr>
        <w:t xml:space="preserve">Based on the report of the World Health Organization (WHO), the share of total health expenditure to GDP in the Philippines reached 3.4 percent in 2004, an increase of 0.2 percentage </w:t>
      </w:r>
      <w:proofErr w:type="gramStart"/>
      <w:r w:rsidRPr="00714720">
        <w:rPr>
          <w:rFonts w:ascii="Verdana" w:eastAsia="Times New Roman" w:hAnsi="Verdana" w:cs="Times New Roman"/>
          <w:color w:val="000000"/>
          <w:sz w:val="18"/>
          <w:szCs w:val="18"/>
        </w:rPr>
        <w:t>point</w:t>
      </w:r>
      <w:proofErr w:type="gramEnd"/>
      <w:r w:rsidRPr="00714720">
        <w:rPr>
          <w:rFonts w:ascii="Verdana" w:eastAsia="Times New Roman" w:hAnsi="Verdana" w:cs="Times New Roman"/>
          <w:color w:val="000000"/>
          <w:sz w:val="18"/>
          <w:szCs w:val="18"/>
        </w:rPr>
        <w:t xml:space="preserve"> from the previous year's 3.2 percent.   Among the other ASEAN countries, Brunei Darussalam, Indonesia and Myanmar had lower percentage share of total health expenditure to GDP than the Philippines. </w:t>
      </w:r>
    </w:p>
    <w:p w:rsidR="00714720" w:rsidRPr="00714720" w:rsidRDefault="00714720" w:rsidP="00714720">
      <w:pPr>
        <w:spacing w:before="100" w:beforeAutospacing="1" w:after="100" w:afterAutospacing="1" w:line="240" w:lineRule="auto"/>
        <w:rPr>
          <w:rFonts w:ascii="Verdana" w:eastAsia="Times New Roman" w:hAnsi="Verdana" w:cs="Times New Roman"/>
          <w:color w:val="000000"/>
          <w:sz w:val="18"/>
          <w:szCs w:val="18"/>
        </w:rPr>
      </w:pPr>
      <w:r w:rsidRPr="00714720">
        <w:rPr>
          <w:rFonts w:ascii="Verdana" w:eastAsia="Times New Roman" w:hAnsi="Verdana" w:cs="Times New Roman"/>
          <w:color w:val="000000"/>
          <w:sz w:val="18"/>
          <w:szCs w:val="18"/>
        </w:rPr>
        <w:t xml:space="preserve">Those countries in the ASEAN Region in which their governments contributed more than half of their respective total health expenditure include Brunei </w:t>
      </w:r>
      <w:proofErr w:type="spellStart"/>
      <w:r w:rsidRPr="00714720">
        <w:rPr>
          <w:rFonts w:ascii="Verdana" w:eastAsia="Times New Roman" w:hAnsi="Verdana" w:cs="Times New Roman"/>
          <w:color w:val="000000"/>
          <w:sz w:val="18"/>
          <w:szCs w:val="18"/>
        </w:rPr>
        <w:t>Darrusalam</w:t>
      </w:r>
      <w:proofErr w:type="spellEnd"/>
      <w:r w:rsidRPr="00714720">
        <w:rPr>
          <w:rFonts w:ascii="Verdana" w:eastAsia="Times New Roman" w:hAnsi="Verdana" w:cs="Times New Roman"/>
          <w:color w:val="000000"/>
          <w:sz w:val="18"/>
          <w:szCs w:val="18"/>
        </w:rPr>
        <w:t xml:space="preserve"> at 79.7 percent, Thailand at 64.7 </w:t>
      </w:r>
      <w:proofErr w:type="gramStart"/>
      <w:r w:rsidRPr="00714720">
        <w:rPr>
          <w:rFonts w:ascii="Verdana" w:eastAsia="Times New Roman" w:hAnsi="Verdana" w:cs="Times New Roman"/>
          <w:color w:val="000000"/>
          <w:sz w:val="18"/>
          <w:szCs w:val="18"/>
        </w:rPr>
        <w:t>percent,</w:t>
      </w:r>
      <w:proofErr w:type="gramEnd"/>
      <w:r w:rsidRPr="00714720">
        <w:rPr>
          <w:rFonts w:ascii="Verdana" w:eastAsia="Times New Roman" w:hAnsi="Verdana" w:cs="Times New Roman"/>
          <w:color w:val="000000"/>
          <w:sz w:val="18"/>
          <w:szCs w:val="18"/>
        </w:rPr>
        <w:t xml:space="preserve"> and Malaysia at 58.8 percent. </w:t>
      </w:r>
    </w:p>
    <w:p w:rsidR="00714720" w:rsidRDefault="00714720" w:rsidP="00714720">
      <w:pPr>
        <w:spacing w:before="100" w:beforeAutospacing="1" w:after="100" w:afterAutospacing="1" w:line="240" w:lineRule="auto"/>
        <w:rPr>
          <w:rFonts w:ascii="Verdana" w:eastAsia="Times New Roman" w:hAnsi="Verdana" w:cs="Times New Roman"/>
          <w:color w:val="000000"/>
          <w:sz w:val="18"/>
          <w:szCs w:val="18"/>
        </w:rPr>
      </w:pPr>
      <w:r w:rsidRPr="00714720">
        <w:rPr>
          <w:rFonts w:ascii="Verdana" w:eastAsia="Times New Roman" w:hAnsi="Verdana" w:cs="Times New Roman"/>
          <w:color w:val="000000"/>
          <w:sz w:val="18"/>
          <w:szCs w:val="18"/>
        </w:rPr>
        <w:t>Private expenditure on health in the Philippines decreased slightly but still maintaining a share of more than 50 percent.  More than half of the countries showed higher private health expenditure shares than the Philippines, with Myanmar posting the highest at 87.1 percent, followed by Lao People's Democratic Republic and Cambodia with 79.5 and 74.2 percent, respectively.</w:t>
      </w:r>
    </w:p>
    <w:p w:rsidR="00714720" w:rsidRPr="00714720" w:rsidRDefault="00714720" w:rsidP="00714720">
      <w:pPr>
        <w:spacing w:before="100" w:beforeAutospacing="1" w:after="100" w:afterAutospacing="1" w:line="240" w:lineRule="auto"/>
        <w:rPr>
          <w:rFonts w:ascii="Verdana" w:eastAsia="Times New Roman" w:hAnsi="Verdana" w:cs="Times New Roman"/>
          <w:color w:val="000000"/>
          <w:sz w:val="18"/>
          <w:szCs w:val="18"/>
        </w:rPr>
      </w:pPr>
      <w:bookmarkStart w:id="0" w:name="_GoBack"/>
      <w:bookmarkEnd w:id="0"/>
    </w:p>
    <w:p w:rsidR="00714720" w:rsidRPr="00714720" w:rsidRDefault="00714720" w:rsidP="00714720">
      <w:pPr>
        <w:shd w:val="clear" w:color="auto" w:fill="E9E9E9"/>
        <w:spacing w:before="100" w:beforeAutospacing="1" w:after="100" w:afterAutospacing="1" w:line="360" w:lineRule="atLeast"/>
        <w:jc w:val="center"/>
        <w:rPr>
          <w:rFonts w:ascii="Verdana" w:eastAsia="Times New Roman" w:hAnsi="Verdana" w:cs="Times New Roman"/>
          <w:b/>
          <w:bCs/>
          <w:color w:val="000000"/>
          <w:sz w:val="15"/>
          <w:szCs w:val="15"/>
        </w:rPr>
      </w:pPr>
      <w:r w:rsidRPr="00714720">
        <w:rPr>
          <w:rFonts w:ascii="Verdana" w:eastAsia="Times New Roman" w:hAnsi="Verdana" w:cs="Times New Roman"/>
          <w:b/>
          <w:bCs/>
          <w:color w:val="000000"/>
          <w:sz w:val="15"/>
          <w:szCs w:val="15"/>
        </w:rPr>
        <w:t>Selected National Health Accounts Indicators for the Philippines</w:t>
      </w:r>
      <w:r w:rsidRPr="00714720">
        <w:rPr>
          <w:rFonts w:ascii="Verdana" w:eastAsia="Times New Roman" w:hAnsi="Verdana" w:cs="Times New Roman"/>
          <w:b/>
          <w:bCs/>
          <w:color w:val="000000"/>
          <w:sz w:val="15"/>
          <w:szCs w:val="15"/>
        </w:rPr>
        <w:br/>
        <w:t>and Other Asian Countries, 2003-2004</w:t>
      </w:r>
      <w:r w:rsidRPr="00714720">
        <w:rPr>
          <w:rFonts w:ascii="Verdana" w:eastAsia="Times New Roman" w:hAnsi="Verdana" w:cs="Times New Roman"/>
          <w:b/>
          <w:bCs/>
          <w:color w:val="000000"/>
          <w:sz w:val="15"/>
          <w:szCs w:val="15"/>
          <w:vertAlign w:val="superscript"/>
        </w:rPr>
        <w:t> 1/</w:t>
      </w:r>
    </w:p>
    <w:tbl>
      <w:tblPr>
        <w:tblW w:w="8160" w:type="dxa"/>
        <w:jc w:val="center"/>
        <w:tblCellSpacing w:w="7" w:type="dxa"/>
        <w:tblBorders>
          <w:top w:val="single" w:sz="18" w:space="0" w:color="CCCCCC"/>
          <w:left w:val="single" w:sz="18" w:space="0" w:color="CCCCCC"/>
          <w:bottom w:val="single" w:sz="18" w:space="0" w:color="666666"/>
          <w:right w:val="single" w:sz="18" w:space="0" w:color="666666"/>
        </w:tblBorders>
        <w:tblCellMar>
          <w:top w:w="45" w:type="dxa"/>
          <w:left w:w="45" w:type="dxa"/>
          <w:bottom w:w="45" w:type="dxa"/>
          <w:right w:w="45" w:type="dxa"/>
        </w:tblCellMar>
        <w:tblLook w:val="04A0" w:firstRow="1" w:lastRow="0" w:firstColumn="1" w:lastColumn="0" w:noHBand="0" w:noVBand="1"/>
      </w:tblPr>
      <w:tblGrid>
        <w:gridCol w:w="1399"/>
        <w:gridCol w:w="731"/>
        <w:gridCol w:w="709"/>
        <w:gridCol w:w="898"/>
        <w:gridCol w:w="963"/>
        <w:gridCol w:w="845"/>
        <w:gridCol w:w="860"/>
        <w:gridCol w:w="878"/>
        <w:gridCol w:w="877"/>
      </w:tblGrid>
      <w:tr w:rsidR="00714720" w:rsidRPr="00714720" w:rsidTr="00714720">
        <w:trPr>
          <w:tblCellSpacing w:w="7" w:type="dxa"/>
          <w:jc w:val="center"/>
        </w:trPr>
        <w:tc>
          <w:tcPr>
            <w:tcW w:w="1515" w:type="dxa"/>
            <w:vMerge w:val="restart"/>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Member State</w:t>
            </w:r>
          </w:p>
        </w:tc>
        <w:tc>
          <w:tcPr>
            <w:tcW w:w="0" w:type="auto"/>
            <w:gridSpan w:val="2"/>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Total expenditure on health as % of GDP </w:t>
            </w:r>
          </w:p>
        </w:tc>
        <w:tc>
          <w:tcPr>
            <w:tcW w:w="0" w:type="auto"/>
            <w:gridSpan w:val="2"/>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General government expenditure on health as % of  total expenditure on health </w:t>
            </w:r>
          </w:p>
        </w:tc>
        <w:tc>
          <w:tcPr>
            <w:tcW w:w="0" w:type="auto"/>
            <w:gridSpan w:val="2"/>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Private expenditure on health as % of total expenditure on health</w:t>
            </w:r>
          </w:p>
        </w:tc>
        <w:tc>
          <w:tcPr>
            <w:tcW w:w="0" w:type="auto"/>
            <w:gridSpan w:val="2"/>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External resources for health as % of total expenditure on health </w:t>
            </w:r>
          </w:p>
        </w:tc>
      </w:tr>
      <w:tr w:rsidR="00714720" w:rsidRPr="00714720" w:rsidTr="00714720">
        <w:trPr>
          <w:tblCellSpacing w:w="7" w:type="dxa"/>
          <w:jc w:val="center"/>
        </w:trPr>
        <w:tc>
          <w:tcPr>
            <w:tcW w:w="0" w:type="auto"/>
            <w:vMerge/>
            <w:tcBorders>
              <w:bottom w:val="single" w:sz="6" w:space="0" w:color="CCCCCC"/>
            </w:tcBorders>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p>
        </w:tc>
        <w:tc>
          <w:tcPr>
            <w:tcW w:w="675" w:type="dxa"/>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2003</w:t>
            </w:r>
          </w:p>
        </w:tc>
        <w:tc>
          <w:tcPr>
            <w:tcW w:w="615" w:type="dxa"/>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2004</w:t>
            </w:r>
          </w:p>
        </w:tc>
        <w:tc>
          <w:tcPr>
            <w:tcW w:w="660" w:type="dxa"/>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2003</w:t>
            </w:r>
          </w:p>
        </w:tc>
        <w:tc>
          <w:tcPr>
            <w:tcW w:w="765" w:type="dxa"/>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2004</w:t>
            </w:r>
          </w:p>
        </w:tc>
        <w:tc>
          <w:tcPr>
            <w:tcW w:w="720" w:type="dxa"/>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2003</w:t>
            </w:r>
          </w:p>
        </w:tc>
        <w:tc>
          <w:tcPr>
            <w:tcW w:w="750" w:type="dxa"/>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2004</w:t>
            </w:r>
          </w:p>
        </w:tc>
        <w:tc>
          <w:tcPr>
            <w:tcW w:w="750" w:type="dxa"/>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2003</w:t>
            </w:r>
          </w:p>
        </w:tc>
        <w:tc>
          <w:tcPr>
            <w:tcW w:w="660" w:type="dxa"/>
            <w:tcBorders>
              <w:bottom w:val="single" w:sz="6" w:space="0" w:color="CCCCCC"/>
            </w:tcBorders>
            <w:shd w:val="clear" w:color="auto" w:fill="F0F0F0"/>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2004</w:t>
            </w:r>
          </w:p>
        </w:tc>
      </w:tr>
      <w:tr w:rsidR="00714720" w:rsidRPr="00714720" w:rsidTr="00714720">
        <w:trPr>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Brunei Darussalam</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3.5</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3.2</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80.0</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79.7</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20.0</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20.3</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 n/a </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 n/a </w:t>
            </w:r>
          </w:p>
        </w:tc>
      </w:tr>
      <w:tr w:rsidR="00714720" w:rsidRPr="00714720" w:rsidTr="00714720">
        <w:trPr>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Cambodia</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10.9</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6.7</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19.3</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25.8</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80.7</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74.2</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18.5</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28.5</w:t>
            </w:r>
          </w:p>
        </w:tc>
      </w:tr>
      <w:tr w:rsidR="00714720" w:rsidRPr="00714720" w:rsidTr="00714720">
        <w:trPr>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Indonesia</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3.1</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2.8</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35.9</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34.2</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64.1</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65.8</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1.4</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1.3</w:t>
            </w:r>
          </w:p>
        </w:tc>
      </w:tr>
      <w:tr w:rsidR="00714720" w:rsidRPr="00714720" w:rsidTr="00714720">
        <w:trPr>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Lao People's Democratic Rep.</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3.2</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3.9</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38.5</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20.5</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61.5</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79.5</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30.0</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10.2</w:t>
            </w:r>
          </w:p>
        </w:tc>
      </w:tr>
      <w:tr w:rsidR="00714720" w:rsidRPr="00714720" w:rsidTr="00714720">
        <w:trPr>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Malaysia</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3.8</w:t>
            </w:r>
          </w:p>
        </w:tc>
        <w:tc>
          <w:tcPr>
            <w:tcW w:w="0" w:type="auto"/>
            <w:tcBorders>
              <w:bottom w:val="single" w:sz="6" w:space="0" w:color="CCCCCC"/>
            </w:tcBorders>
            <w:tcMar>
              <w:top w:w="45" w:type="dxa"/>
              <w:left w:w="75" w:type="dxa"/>
              <w:bottom w:w="45" w:type="dxa"/>
              <w:right w:w="75" w:type="dxa"/>
            </w:tcMa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3.8</w:t>
            </w:r>
          </w:p>
        </w:tc>
        <w:tc>
          <w:tcPr>
            <w:tcW w:w="0" w:type="auto"/>
            <w:tcBorders>
              <w:bottom w:val="single" w:sz="6" w:space="0" w:color="CCCCCC"/>
            </w:tcBorders>
            <w:tcMar>
              <w:top w:w="45" w:type="dxa"/>
              <w:left w:w="75" w:type="dxa"/>
              <w:bottom w:w="45" w:type="dxa"/>
              <w:right w:w="75" w:type="dxa"/>
            </w:tcMa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58.2</w:t>
            </w:r>
          </w:p>
        </w:tc>
        <w:tc>
          <w:tcPr>
            <w:tcW w:w="0" w:type="auto"/>
            <w:tcBorders>
              <w:bottom w:val="single" w:sz="6" w:space="0" w:color="CCCCCC"/>
            </w:tcBorders>
            <w:tcMar>
              <w:top w:w="45" w:type="dxa"/>
              <w:left w:w="75" w:type="dxa"/>
              <w:bottom w:w="45" w:type="dxa"/>
              <w:right w:w="75" w:type="dxa"/>
            </w:tcMa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58.8</w:t>
            </w:r>
          </w:p>
        </w:tc>
        <w:tc>
          <w:tcPr>
            <w:tcW w:w="0" w:type="auto"/>
            <w:tcBorders>
              <w:bottom w:val="single" w:sz="6" w:space="0" w:color="CCCCCC"/>
            </w:tcBorders>
            <w:tcMar>
              <w:top w:w="45" w:type="dxa"/>
              <w:left w:w="75" w:type="dxa"/>
              <w:bottom w:w="45" w:type="dxa"/>
              <w:right w:w="75" w:type="dxa"/>
            </w:tcMa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41.8</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41.2</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0.1</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0.1</w:t>
            </w:r>
          </w:p>
        </w:tc>
      </w:tr>
      <w:tr w:rsidR="00714720" w:rsidRPr="00714720" w:rsidTr="00714720">
        <w:trPr>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Myanmar</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2.8</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2.2</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19.4</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12.9</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80.6</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87.1</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2.2</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13.1</w:t>
            </w:r>
          </w:p>
        </w:tc>
      </w:tr>
      <w:tr w:rsidR="00714720" w:rsidRPr="00714720" w:rsidTr="00714720">
        <w:trPr>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Philippines - WHO</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3.2</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3.4</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43.7</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39.8</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56.3</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60.2</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3.8</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3.6</w:t>
            </w:r>
          </w:p>
        </w:tc>
      </w:tr>
      <w:tr w:rsidR="00714720" w:rsidRPr="00714720" w:rsidTr="00714720">
        <w:trPr>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Philippines </w:t>
            </w:r>
            <w:r w:rsidRPr="00714720">
              <w:rPr>
                <w:rFonts w:ascii="Verdana" w:eastAsia="Times New Roman" w:hAnsi="Verdana" w:cs="Times New Roman"/>
                <w:b/>
                <w:bCs/>
                <w:color w:val="000000"/>
                <w:sz w:val="14"/>
                <w:szCs w:val="14"/>
                <w:vertAlign w:val="superscript"/>
              </w:rPr>
              <w:t>2/</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3.4</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3.4</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31.1</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30.7</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58.6</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58.5</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3.3</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b/>
                <w:bCs/>
                <w:color w:val="000000"/>
                <w:sz w:val="14"/>
                <w:szCs w:val="14"/>
              </w:rPr>
              <w:t>3.8</w:t>
            </w:r>
          </w:p>
        </w:tc>
      </w:tr>
      <w:tr w:rsidR="00714720" w:rsidRPr="00714720" w:rsidTr="00714720">
        <w:trPr>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Singapore</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4.5</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3.7</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36.1</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34.0</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63.9</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66.0</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0.0</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0.0</w:t>
            </w:r>
          </w:p>
        </w:tc>
      </w:tr>
      <w:tr w:rsidR="00714720" w:rsidRPr="00714720" w:rsidTr="00714720">
        <w:trPr>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Thailand</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3.3</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3.5</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61.6</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64.7</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38.4</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35.3</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0.3</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0.3</w:t>
            </w:r>
          </w:p>
        </w:tc>
      </w:tr>
      <w:tr w:rsidR="00714720" w:rsidRPr="00714720" w:rsidTr="00714720">
        <w:trPr>
          <w:tblCellSpacing w:w="7" w:type="dxa"/>
          <w:jc w:val="center"/>
        </w:trPr>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Viet Nam</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5.4</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5.5</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27.8</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27.1</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72.2</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72.9</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2.6</w:t>
            </w:r>
          </w:p>
        </w:tc>
        <w:tc>
          <w:tcPr>
            <w:tcW w:w="0" w:type="auto"/>
            <w:tcBorders>
              <w:bottom w:val="single" w:sz="6" w:space="0" w:color="CCCCCC"/>
            </w:tcBorders>
            <w:tcMar>
              <w:top w:w="45" w:type="dxa"/>
              <w:left w:w="75" w:type="dxa"/>
              <w:bottom w:w="45" w:type="dxa"/>
              <w:right w:w="75" w:type="dxa"/>
            </w:tcMar>
            <w:vAlign w:val="center"/>
            <w:hideMark/>
          </w:tcPr>
          <w:p w:rsidR="00714720" w:rsidRPr="00714720" w:rsidRDefault="00714720" w:rsidP="00714720">
            <w:pPr>
              <w:spacing w:after="0" w:line="240" w:lineRule="auto"/>
              <w:jc w:val="center"/>
              <w:rPr>
                <w:rFonts w:ascii="Verdana" w:eastAsia="Times New Roman" w:hAnsi="Verdana" w:cs="Times New Roman"/>
                <w:color w:val="000000"/>
                <w:sz w:val="14"/>
                <w:szCs w:val="14"/>
              </w:rPr>
            </w:pPr>
            <w:r w:rsidRPr="00714720">
              <w:rPr>
                <w:rFonts w:ascii="Verdana" w:eastAsia="Times New Roman" w:hAnsi="Verdana" w:cs="Times New Roman"/>
                <w:color w:val="000000"/>
                <w:sz w:val="14"/>
                <w:szCs w:val="14"/>
              </w:rPr>
              <w:t>2.0</w:t>
            </w:r>
          </w:p>
        </w:tc>
      </w:tr>
    </w:tbl>
    <w:p w:rsidR="00714720" w:rsidRPr="00714720" w:rsidRDefault="00714720" w:rsidP="00714720">
      <w:pPr>
        <w:spacing w:before="100" w:beforeAutospacing="1" w:after="100" w:afterAutospacing="1" w:line="240" w:lineRule="auto"/>
        <w:rPr>
          <w:rFonts w:ascii="Verdana" w:eastAsia="Times New Roman" w:hAnsi="Verdana" w:cs="Times New Roman"/>
          <w:color w:val="666666"/>
          <w:sz w:val="15"/>
          <w:szCs w:val="15"/>
        </w:rPr>
      </w:pPr>
      <w:r w:rsidRPr="00714720">
        <w:rPr>
          <w:rFonts w:ascii="Verdana" w:eastAsia="Times New Roman" w:hAnsi="Verdana" w:cs="Times New Roman"/>
          <w:color w:val="666666"/>
          <w:sz w:val="15"/>
          <w:szCs w:val="15"/>
        </w:rPr>
        <w:t>1/ The World Health Report 2005, WHO website (Date: Oct 22, 2007).</w:t>
      </w:r>
    </w:p>
    <w:p w:rsidR="00714720" w:rsidRPr="00714720" w:rsidRDefault="00714720" w:rsidP="00714720">
      <w:pPr>
        <w:spacing w:before="100" w:beforeAutospacing="1" w:after="100" w:afterAutospacing="1" w:line="240" w:lineRule="auto"/>
        <w:rPr>
          <w:rFonts w:ascii="Verdana" w:eastAsia="Times New Roman" w:hAnsi="Verdana" w:cs="Times New Roman"/>
          <w:color w:val="666666"/>
          <w:sz w:val="15"/>
          <w:szCs w:val="15"/>
        </w:rPr>
      </w:pPr>
      <w:r w:rsidRPr="00714720">
        <w:rPr>
          <w:rFonts w:ascii="Verdana" w:eastAsia="Times New Roman" w:hAnsi="Verdana" w:cs="Times New Roman"/>
          <w:color w:val="666666"/>
          <w:sz w:val="15"/>
          <w:szCs w:val="15"/>
        </w:rPr>
        <w:t>2/ 2005 PNHA, NSCB.</w:t>
      </w:r>
    </w:p>
    <w:p w:rsidR="00714720" w:rsidRPr="00714720" w:rsidRDefault="00714720" w:rsidP="00714720">
      <w:pPr>
        <w:spacing w:before="100" w:beforeAutospacing="1" w:after="100" w:afterAutospacing="1" w:line="240" w:lineRule="auto"/>
        <w:rPr>
          <w:rFonts w:ascii="Verdana" w:eastAsia="Times New Roman" w:hAnsi="Verdana" w:cs="Times New Roman"/>
          <w:color w:val="666666"/>
          <w:sz w:val="15"/>
          <w:szCs w:val="15"/>
        </w:rPr>
      </w:pPr>
      <w:r w:rsidRPr="00714720">
        <w:rPr>
          <w:rFonts w:ascii="Verdana" w:eastAsia="Times New Roman" w:hAnsi="Verdana" w:cs="Times New Roman"/>
          <w:color w:val="666666"/>
          <w:sz w:val="15"/>
          <w:szCs w:val="15"/>
        </w:rPr>
        <w:t>n/a - not available</w:t>
      </w:r>
    </w:p>
    <w:p w:rsidR="00714720" w:rsidRDefault="00714720"/>
    <w:sectPr w:rsidR="00714720" w:rsidSect="0071472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20"/>
    <w:rsid w:val="005930E0"/>
    <w:rsid w:val="0071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abletitle">
    <w:name w:val="datatabletitle"/>
    <w:basedOn w:val="Normal"/>
    <w:rsid w:val="00714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720"/>
    <w:rPr>
      <w:b/>
      <w:bCs/>
    </w:rPr>
  </w:style>
  <w:style w:type="character" w:customStyle="1" w:styleId="apple-converted-space">
    <w:name w:val="apple-converted-space"/>
    <w:basedOn w:val="DefaultParagraphFont"/>
    <w:rsid w:val="00714720"/>
  </w:style>
  <w:style w:type="paragraph" w:customStyle="1" w:styleId="notes">
    <w:name w:val="notes"/>
    <w:basedOn w:val="Normal"/>
    <w:rsid w:val="007147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abletitle">
    <w:name w:val="datatabletitle"/>
    <w:basedOn w:val="Normal"/>
    <w:rsid w:val="00714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720"/>
    <w:rPr>
      <w:b/>
      <w:bCs/>
    </w:rPr>
  </w:style>
  <w:style w:type="character" w:customStyle="1" w:styleId="apple-converted-space">
    <w:name w:val="apple-converted-space"/>
    <w:basedOn w:val="DefaultParagraphFont"/>
    <w:rsid w:val="00714720"/>
  </w:style>
  <w:style w:type="paragraph" w:customStyle="1" w:styleId="notes">
    <w:name w:val="notes"/>
    <w:basedOn w:val="Normal"/>
    <w:rsid w:val="00714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PSA</cp:lastModifiedBy>
  <cp:revision>1</cp:revision>
  <dcterms:created xsi:type="dcterms:W3CDTF">2016-12-16T01:23:00Z</dcterms:created>
  <dcterms:modified xsi:type="dcterms:W3CDTF">2016-12-16T01:23:00Z</dcterms:modified>
</cp:coreProperties>
</file>