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E0" w:rsidRDefault="001A1565">
      <w:pPr>
        <w:rPr>
          <w:rStyle w:val="apple-converted-space"/>
          <w:rFonts w:ascii="Verdana" w:hAnsi="Verdana"/>
          <w:b/>
          <w:bCs/>
          <w:color w:val="FF6600"/>
          <w:sz w:val="18"/>
          <w:szCs w:val="18"/>
        </w:rPr>
      </w:pPr>
      <w:r>
        <w:rPr>
          <w:rFonts w:ascii="Verdana" w:hAnsi="Verdana"/>
          <w:b/>
          <w:bCs/>
          <w:color w:val="FF6600"/>
          <w:sz w:val="18"/>
          <w:szCs w:val="18"/>
        </w:rPr>
        <w:t>Sources of Funds for Health</w:t>
      </w:r>
      <w:r>
        <w:rPr>
          <w:rStyle w:val="apple-converted-space"/>
          <w:rFonts w:ascii="Verdana" w:hAnsi="Verdana"/>
          <w:b/>
          <w:bCs/>
          <w:color w:val="FF6600"/>
          <w:sz w:val="18"/>
          <w:szCs w:val="18"/>
        </w:rPr>
        <w:t> </w:t>
      </w:r>
    </w:p>
    <w:p w:rsidR="001A1565" w:rsidRPr="001A1565" w:rsidRDefault="001A1565" w:rsidP="001A1565">
      <w:pPr>
        <w:spacing w:before="100" w:beforeAutospacing="1" w:after="100" w:afterAutospacing="1" w:line="240" w:lineRule="auto"/>
        <w:rPr>
          <w:rFonts w:ascii="Verdana" w:eastAsia="Times New Roman" w:hAnsi="Verdana" w:cs="Times New Roman"/>
          <w:b/>
          <w:bCs/>
          <w:color w:val="003366"/>
          <w:sz w:val="18"/>
          <w:szCs w:val="18"/>
        </w:rPr>
      </w:pPr>
      <w:r w:rsidRPr="001A1565">
        <w:rPr>
          <w:rFonts w:ascii="Verdana" w:eastAsia="Times New Roman" w:hAnsi="Verdana" w:cs="Times New Roman"/>
          <w:b/>
          <w:bCs/>
          <w:color w:val="003366"/>
          <w:sz w:val="18"/>
          <w:szCs w:val="18"/>
        </w:rPr>
        <w:t>Health benefit payments from social insurance exhibit the highest growth</w:t>
      </w:r>
    </w:p>
    <w:p w:rsidR="001A1565" w:rsidRPr="001A1565" w:rsidRDefault="001A1565" w:rsidP="001A1565">
      <w:pPr>
        <w:spacing w:before="100" w:beforeAutospacing="1" w:after="100" w:afterAutospacing="1" w:line="240" w:lineRule="auto"/>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 xml:space="preserve">Health benefit payments from social insurance showed the highest growth rate at 24.9 percent or around P4.0 billion increase in 2005. This resulted from the big hike in payments from Employees' Compensation at 42.4 percent and </w:t>
      </w:r>
      <w:proofErr w:type="spellStart"/>
      <w:r w:rsidRPr="001A1565">
        <w:rPr>
          <w:rFonts w:ascii="Verdana" w:eastAsia="Times New Roman" w:hAnsi="Verdana" w:cs="Times New Roman"/>
          <w:color w:val="000000"/>
          <w:sz w:val="18"/>
          <w:szCs w:val="18"/>
        </w:rPr>
        <w:t>PhilHealth</w:t>
      </w:r>
      <w:proofErr w:type="spellEnd"/>
      <w:r w:rsidRPr="001A1565">
        <w:rPr>
          <w:rFonts w:ascii="Verdana" w:eastAsia="Times New Roman" w:hAnsi="Verdana" w:cs="Times New Roman"/>
          <w:color w:val="000000"/>
          <w:sz w:val="18"/>
          <w:szCs w:val="18"/>
        </w:rPr>
        <w:t xml:space="preserve"> (Medicare) at</w:t>
      </w:r>
      <w:proofErr w:type="gramStart"/>
      <w:r w:rsidRPr="001A1565">
        <w:rPr>
          <w:rFonts w:ascii="Verdana" w:eastAsia="Times New Roman" w:hAnsi="Verdana" w:cs="Times New Roman"/>
          <w:color w:val="000000"/>
          <w:sz w:val="18"/>
          <w:szCs w:val="18"/>
        </w:rPr>
        <w:t>  24.4</w:t>
      </w:r>
      <w:proofErr w:type="gramEnd"/>
      <w:r w:rsidRPr="001A1565">
        <w:rPr>
          <w:rFonts w:ascii="Verdana" w:eastAsia="Times New Roman" w:hAnsi="Verdana" w:cs="Times New Roman"/>
          <w:color w:val="000000"/>
          <w:sz w:val="18"/>
          <w:szCs w:val="18"/>
        </w:rPr>
        <w:t xml:space="preserve"> percent. </w:t>
      </w:r>
    </w:p>
    <w:p w:rsidR="001A1565" w:rsidRPr="001A1565" w:rsidRDefault="001A1565" w:rsidP="001A1565">
      <w:pPr>
        <w:spacing w:before="100" w:beforeAutospacing="1" w:after="100" w:afterAutospacing="1" w:line="240" w:lineRule="auto"/>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National government expenditure on health exhibited a 10.1 percent growth while local government expenditure posted a 6.1 percent decline.</w:t>
      </w:r>
    </w:p>
    <w:p w:rsidR="001A1565" w:rsidRPr="001A1565" w:rsidRDefault="001A1565" w:rsidP="001A1565">
      <w:pPr>
        <w:spacing w:before="100" w:beforeAutospacing="1" w:after="100" w:afterAutospacing="1" w:line="240" w:lineRule="auto"/>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Among the private sources, out-of-pocket expenditures registered the highest growth at 12.9 percent, followed by private schools and private insurance with 6.5 and 6.4 percent, respectively, and HMOs with a very minimal increase. On the other hand, employer-based plans showed a decrease of 2.5 percent in 2005.</w:t>
      </w:r>
    </w:p>
    <w:tbl>
      <w:tblPr>
        <w:tblpPr w:leftFromText="180" w:rightFromText="180" w:vertAnchor="text" w:tblpXSpec="center" w:tblpY="1"/>
        <w:tblOverlap w:val="never"/>
        <w:tblW w:w="6660" w:type="dxa"/>
        <w:tblCellSpacing w:w="7" w:type="dxa"/>
        <w:tblBorders>
          <w:top w:val="single" w:sz="18" w:space="0" w:color="CCCCCC"/>
          <w:left w:val="single" w:sz="18" w:space="0" w:color="CCCCCC"/>
          <w:bottom w:val="single" w:sz="18" w:space="0" w:color="666666"/>
          <w:right w:val="single" w:sz="18" w:space="0" w:color="666666"/>
        </w:tblBorders>
        <w:tblCellMar>
          <w:top w:w="45" w:type="dxa"/>
          <w:left w:w="45" w:type="dxa"/>
          <w:bottom w:w="45" w:type="dxa"/>
          <w:right w:w="45" w:type="dxa"/>
        </w:tblCellMar>
        <w:tblLook w:val="04A0" w:firstRow="1" w:lastRow="0" w:firstColumn="1" w:lastColumn="0" w:noHBand="0" w:noVBand="1"/>
      </w:tblPr>
      <w:tblGrid>
        <w:gridCol w:w="2530"/>
        <w:gridCol w:w="1586"/>
        <w:gridCol w:w="1253"/>
        <w:gridCol w:w="1291"/>
      </w:tblGrid>
      <w:tr w:rsidR="001A1565" w:rsidRPr="001A1565" w:rsidTr="001A1565">
        <w:trPr>
          <w:trHeight w:val="555"/>
          <w:tblCellSpacing w:w="7" w:type="dxa"/>
        </w:trPr>
        <w:tc>
          <w:tcPr>
            <w:tcW w:w="2370" w:type="dxa"/>
            <w:vMerge w:val="restart"/>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SOURCE OF FUNDS</w:t>
            </w:r>
          </w:p>
        </w:tc>
        <w:tc>
          <w:tcPr>
            <w:tcW w:w="0" w:type="auto"/>
            <w:gridSpan w:val="2"/>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AMOUNT </w:t>
            </w:r>
            <w:r w:rsidRPr="001A1565">
              <w:rPr>
                <w:rFonts w:ascii="Verdana" w:eastAsia="Times New Roman" w:hAnsi="Verdana" w:cs="Times New Roman"/>
                <w:b/>
                <w:bCs/>
                <w:color w:val="000000"/>
                <w:sz w:val="14"/>
                <w:szCs w:val="14"/>
              </w:rPr>
              <w:br/>
              <w:t>(in million pesos)</w:t>
            </w:r>
          </w:p>
        </w:tc>
        <w:tc>
          <w:tcPr>
            <w:tcW w:w="1200" w:type="dxa"/>
            <w:vMerge w:val="restart"/>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Growth Rate</w:t>
            </w:r>
            <w:r w:rsidRPr="001A1565">
              <w:rPr>
                <w:rFonts w:ascii="Verdana" w:eastAsia="Times New Roman" w:hAnsi="Verdana" w:cs="Times New Roman"/>
                <w:b/>
                <w:bCs/>
                <w:color w:val="000000"/>
                <w:sz w:val="14"/>
                <w:szCs w:val="14"/>
              </w:rPr>
              <w:br/>
              <w:t>(in percent)</w:t>
            </w:r>
          </w:p>
        </w:tc>
      </w:tr>
      <w:tr w:rsidR="001A1565" w:rsidRPr="001A1565" w:rsidTr="001A1565">
        <w:trPr>
          <w:trHeight w:val="285"/>
          <w:tblCellSpacing w:w="7" w:type="dxa"/>
        </w:trPr>
        <w:tc>
          <w:tcPr>
            <w:tcW w:w="0" w:type="auto"/>
            <w:vMerge/>
            <w:tcBorders>
              <w:bottom w:val="single" w:sz="6" w:space="0" w:color="CCCCCC"/>
            </w:tcBorders>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p>
        </w:tc>
        <w:tc>
          <w:tcPr>
            <w:tcW w:w="1485" w:type="dxa"/>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2004 </w:t>
            </w:r>
            <w:r w:rsidRPr="001A1565">
              <w:rPr>
                <w:rFonts w:ascii="Verdana" w:eastAsia="Times New Roman" w:hAnsi="Verdana" w:cs="Times New Roman"/>
                <w:b/>
                <w:bCs/>
                <w:color w:val="000000"/>
                <w:sz w:val="14"/>
                <w:szCs w:val="14"/>
                <w:vertAlign w:val="superscript"/>
              </w:rPr>
              <w:t>1/</w:t>
            </w:r>
          </w:p>
        </w:tc>
        <w:tc>
          <w:tcPr>
            <w:tcW w:w="1170" w:type="dxa"/>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2005</w:t>
            </w:r>
          </w:p>
        </w:tc>
        <w:tc>
          <w:tcPr>
            <w:tcW w:w="0" w:type="auto"/>
            <w:vMerge/>
            <w:tcBorders>
              <w:bottom w:val="single" w:sz="6" w:space="0" w:color="CCCCCC"/>
            </w:tcBorders>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GOVERNMENT</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50,792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51,922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              2.2</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National</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26,019</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28,651</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10.1</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Local</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24,772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23,271</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(6.1)</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SOCIAL INSURANCE</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15,935</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19,899</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            24.9</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xml:space="preserve">   </w:t>
            </w:r>
            <w:proofErr w:type="spellStart"/>
            <w:r w:rsidRPr="001A1565">
              <w:rPr>
                <w:rFonts w:ascii="Verdana" w:eastAsia="Times New Roman" w:hAnsi="Verdana" w:cs="Times New Roman"/>
                <w:color w:val="000000"/>
                <w:sz w:val="14"/>
                <w:szCs w:val="14"/>
              </w:rPr>
              <w:t>PhilHealth</w:t>
            </w:r>
            <w:proofErr w:type="spellEnd"/>
            <w:r w:rsidRPr="001A1565">
              <w:rPr>
                <w:rFonts w:ascii="Verdana" w:eastAsia="Times New Roman" w:hAnsi="Verdana" w:cs="Times New Roman"/>
                <w:color w:val="000000"/>
                <w:sz w:val="14"/>
                <w:szCs w:val="14"/>
              </w:rPr>
              <w:t xml:space="preserve"> (Medicare)</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15,481</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19,253</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24.4</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Employees' Compensation</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454</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646</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42.4</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PRIVATE SOURCES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96,616</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106,848</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            10.6</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Out-of-Pocket</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77,524</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87,508</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12.9</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Private Insurance</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4,084</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4,344</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6.4</w:t>
            </w:r>
          </w:p>
        </w:tc>
      </w:tr>
      <w:tr w:rsidR="001A1565" w:rsidRPr="001A1565" w:rsidTr="001A1565">
        <w:trPr>
          <w:trHeight w:val="28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HMOs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7,079</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7,082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 </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Employer-Based Plans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5,903</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5,755</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(2.5)</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Private Schools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2,026</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2,158</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6.5</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OTHERS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1,953</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2,102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              7.7</w:t>
            </w:r>
          </w:p>
        </w:tc>
      </w:tr>
      <w:tr w:rsidR="001A1565" w:rsidRPr="001A1565" w:rsidTr="001A1565">
        <w:trPr>
          <w:trHeight w:val="255"/>
          <w:tblCellSpacing w:w="7" w:type="dxa"/>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ALL SOURCES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165,295</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180,772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              9.4</w:t>
            </w:r>
          </w:p>
        </w:tc>
      </w:tr>
    </w:tbl>
    <w:p w:rsidR="001A1565" w:rsidRDefault="001A1565" w:rsidP="001A1565">
      <w:pPr>
        <w:spacing w:beforeAutospacing="1" w:after="100" w:afterAutospacing="1" w:line="240" w:lineRule="auto"/>
        <w:rPr>
          <w:rFonts w:ascii="Verdana" w:eastAsia="Times New Roman" w:hAnsi="Verdana" w:cs="Times New Roman"/>
          <w:color w:val="666666"/>
          <w:sz w:val="15"/>
          <w:szCs w:val="15"/>
        </w:rPr>
      </w:pPr>
      <w:r>
        <w:rPr>
          <w:rFonts w:ascii="Verdana" w:eastAsia="Times New Roman" w:hAnsi="Verdana" w:cs="Times New Roman"/>
          <w:color w:val="666666"/>
          <w:sz w:val="15"/>
          <w:szCs w:val="15"/>
        </w:rPr>
        <w:br w:type="textWrapping" w:clear="all"/>
      </w:r>
    </w:p>
    <w:p w:rsidR="001A1565" w:rsidRPr="001A1565" w:rsidRDefault="001A1565" w:rsidP="001A1565">
      <w:pPr>
        <w:spacing w:beforeAutospacing="1" w:after="100" w:afterAutospacing="1" w:line="240" w:lineRule="auto"/>
        <w:rPr>
          <w:rFonts w:ascii="Verdana" w:eastAsia="Times New Roman" w:hAnsi="Verdana" w:cs="Times New Roman"/>
          <w:color w:val="666666"/>
          <w:sz w:val="15"/>
          <w:szCs w:val="15"/>
        </w:rPr>
      </w:pPr>
      <w:r w:rsidRPr="001A1565">
        <w:rPr>
          <w:rFonts w:ascii="Verdana" w:eastAsia="Times New Roman" w:hAnsi="Verdana" w:cs="Times New Roman"/>
          <w:color w:val="666666"/>
          <w:sz w:val="15"/>
          <w:szCs w:val="15"/>
        </w:rPr>
        <w:t xml:space="preserve">1/ Revised </w:t>
      </w:r>
      <w:r w:rsidRPr="001A1565">
        <w:rPr>
          <w:rFonts w:ascii="Verdana" w:eastAsia="Times New Roman" w:hAnsi="Verdana" w:cs="Times New Roman"/>
          <w:color w:val="666666"/>
          <w:sz w:val="15"/>
          <w:szCs w:val="15"/>
        </w:rPr>
        <w:br/>
        <w:t>* Less than 0.1 percent</w:t>
      </w:r>
    </w:p>
    <w:p w:rsidR="001A1565" w:rsidRPr="001A1565" w:rsidRDefault="001A1565" w:rsidP="001A1565">
      <w:pPr>
        <w:spacing w:before="100" w:beforeAutospacing="1" w:after="100" w:afterAutospacing="1" w:line="240" w:lineRule="auto"/>
        <w:rPr>
          <w:rFonts w:ascii="Verdana" w:eastAsia="Times New Roman" w:hAnsi="Verdana" w:cs="Times New Roman"/>
          <w:color w:val="666666"/>
          <w:sz w:val="15"/>
          <w:szCs w:val="15"/>
        </w:rPr>
      </w:pPr>
      <w:r w:rsidRPr="001A1565">
        <w:rPr>
          <w:rFonts w:ascii="Verdana" w:eastAsia="Times New Roman" w:hAnsi="Verdana" w:cs="Times New Roman"/>
          <w:color w:val="666666"/>
          <w:sz w:val="15"/>
          <w:szCs w:val="15"/>
        </w:rPr>
        <w:t>Source: National Statistical Coordination Board</w:t>
      </w:r>
    </w:p>
    <w:p w:rsidR="001A1565" w:rsidRPr="001A1565" w:rsidRDefault="001A1565" w:rsidP="001A1565">
      <w:pPr>
        <w:spacing w:before="100" w:beforeAutospacing="1" w:after="100" w:afterAutospacing="1" w:line="240" w:lineRule="auto"/>
        <w:rPr>
          <w:rFonts w:ascii="Verdana" w:eastAsia="Times New Roman" w:hAnsi="Verdana" w:cs="Times New Roman"/>
          <w:b/>
          <w:bCs/>
          <w:color w:val="003366"/>
          <w:sz w:val="18"/>
          <w:szCs w:val="18"/>
        </w:rPr>
      </w:pPr>
      <w:r w:rsidRPr="001A1565">
        <w:rPr>
          <w:rFonts w:ascii="Verdana" w:eastAsia="Times New Roman" w:hAnsi="Verdana" w:cs="Times New Roman"/>
          <w:b/>
          <w:bCs/>
          <w:color w:val="003366"/>
          <w:sz w:val="18"/>
          <w:szCs w:val="18"/>
        </w:rPr>
        <w:t>Share of social insurance and private sources in health expenditure increases</w:t>
      </w:r>
    </w:p>
    <w:p w:rsidR="001A1565" w:rsidRPr="001A1565" w:rsidRDefault="001A1565" w:rsidP="001A1565">
      <w:pPr>
        <w:spacing w:before="100" w:beforeAutospacing="1" w:after="100" w:afterAutospacing="1" w:line="240" w:lineRule="auto"/>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In 2005, social insurance and private sources' share to the country's total health expenditure increased to 11.0 and 59.1 percent, respectively. On the other hand, the share of government in health expenditure declined to 28.7 percent. The share of other sources of health expenditure remained at 1.2 percent.</w:t>
      </w:r>
    </w:p>
    <w:p w:rsidR="001A1565" w:rsidRPr="001A1565" w:rsidRDefault="001A1565" w:rsidP="001A1565">
      <w:pPr>
        <w:spacing w:before="100" w:beforeAutospacing="1" w:after="100" w:afterAutospacing="1"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4762500" cy="1733550"/>
            <wp:effectExtent l="0" t="0" r="0" b="0"/>
            <wp:docPr id="1" name="Picture 1"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33550"/>
                    </a:xfrm>
                    <a:prstGeom prst="rect">
                      <a:avLst/>
                    </a:prstGeom>
                    <a:noFill/>
                    <a:ln>
                      <a:noFill/>
                    </a:ln>
                  </pic:spPr>
                </pic:pic>
              </a:graphicData>
            </a:graphic>
          </wp:inline>
        </w:drawing>
      </w:r>
    </w:p>
    <w:p w:rsidR="001A1565" w:rsidRPr="001A1565" w:rsidRDefault="001A1565" w:rsidP="001A1565">
      <w:pPr>
        <w:spacing w:before="100" w:beforeAutospacing="1" w:after="100" w:afterAutospacing="1" w:line="240" w:lineRule="auto"/>
        <w:jc w:val="center"/>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 </w:t>
      </w:r>
    </w:p>
    <w:p w:rsidR="001A1565" w:rsidRPr="001A1565" w:rsidRDefault="001A1565" w:rsidP="001A1565">
      <w:pPr>
        <w:spacing w:before="100" w:beforeAutospacing="1" w:after="100" w:afterAutospacing="1" w:line="240" w:lineRule="auto"/>
        <w:rPr>
          <w:rFonts w:ascii="Verdana" w:eastAsia="Times New Roman" w:hAnsi="Verdana" w:cs="Times New Roman"/>
          <w:b/>
          <w:bCs/>
          <w:color w:val="003366"/>
          <w:sz w:val="18"/>
          <w:szCs w:val="18"/>
        </w:rPr>
      </w:pPr>
      <w:r w:rsidRPr="001A1565">
        <w:rPr>
          <w:rFonts w:ascii="Verdana" w:eastAsia="Times New Roman" w:hAnsi="Verdana" w:cs="Times New Roman"/>
          <w:b/>
          <w:bCs/>
          <w:color w:val="003366"/>
          <w:sz w:val="18"/>
          <w:szCs w:val="18"/>
        </w:rPr>
        <w:t>Per capita health expenditure from all sources of funds increases</w:t>
      </w:r>
    </w:p>
    <w:p w:rsidR="001A1565" w:rsidRPr="001A1565" w:rsidRDefault="001A1565" w:rsidP="001A1565">
      <w:pPr>
        <w:spacing w:before="100" w:beforeAutospacing="1" w:after="100" w:afterAutospacing="1" w:line="240" w:lineRule="auto"/>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 xml:space="preserve">With the large increase in expenditure from social insurance, its per capita health expenditure went up by 22.4 percent, from P191 in 2004 to P233 in 2005.  Likewise, private and other sources and the government exhibited growths of 8.4 percent, 7.7 percent and 0.2 percent, respectively. </w:t>
      </w:r>
    </w:p>
    <w:p w:rsidR="001A1565" w:rsidRPr="001A1565" w:rsidRDefault="001A1565" w:rsidP="001A1565">
      <w:pPr>
        <w:spacing w:before="100" w:beforeAutospacing="1" w:after="100" w:afterAutospacing="1" w:line="240" w:lineRule="auto"/>
        <w:rPr>
          <w:rFonts w:ascii="Verdana" w:eastAsia="Times New Roman" w:hAnsi="Verdana" w:cs="Times New Roman"/>
          <w:color w:val="000000"/>
          <w:sz w:val="18"/>
          <w:szCs w:val="18"/>
        </w:rPr>
      </w:pPr>
      <w:r w:rsidRPr="001A1565">
        <w:rPr>
          <w:rFonts w:ascii="Verdana" w:eastAsia="Times New Roman" w:hAnsi="Verdana" w:cs="Times New Roman"/>
          <w:color w:val="000000"/>
          <w:sz w:val="18"/>
          <w:szCs w:val="18"/>
        </w:rPr>
        <w:t>In real terms, there was an increase of 17.1 percent in social insurance, 7.7 percent in other sources and 3.7 percent in private sources.  On the other hand, decrease in per capita health expenditure was reflected in government at 4.1 percent.</w:t>
      </w:r>
    </w:p>
    <w:tbl>
      <w:tblPr>
        <w:tblW w:w="5970" w:type="dxa"/>
        <w:jc w:val="center"/>
        <w:tblCellSpacing w:w="15" w:type="dxa"/>
        <w:tblBorders>
          <w:top w:val="single" w:sz="18" w:space="0" w:color="CCCCCC"/>
          <w:left w:val="single" w:sz="18" w:space="0" w:color="CCCCCC"/>
          <w:bottom w:val="single" w:sz="18" w:space="0" w:color="666666"/>
          <w:right w:val="single" w:sz="18" w:space="0" w:color="666666"/>
        </w:tblBorders>
        <w:tblCellMar>
          <w:top w:w="45" w:type="dxa"/>
          <w:left w:w="45" w:type="dxa"/>
          <w:bottom w:w="45" w:type="dxa"/>
          <w:right w:w="45" w:type="dxa"/>
        </w:tblCellMar>
        <w:tblLook w:val="04A0" w:firstRow="1" w:lastRow="0" w:firstColumn="1" w:lastColumn="0" w:noHBand="0" w:noVBand="1"/>
      </w:tblPr>
      <w:tblGrid>
        <w:gridCol w:w="2492"/>
        <w:gridCol w:w="1069"/>
        <w:gridCol w:w="1005"/>
        <w:gridCol w:w="1404"/>
      </w:tblGrid>
      <w:tr w:rsidR="001A1565" w:rsidRPr="001A1565" w:rsidTr="001A1565">
        <w:trPr>
          <w:trHeight w:val="900"/>
          <w:tblCellSpacing w:w="15" w:type="dxa"/>
          <w:jc w:val="center"/>
        </w:trPr>
        <w:tc>
          <w:tcPr>
            <w:tcW w:w="2295" w:type="dxa"/>
            <w:vMerge w:val="restart"/>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SOURCE OF FUNDS</w:t>
            </w:r>
          </w:p>
        </w:tc>
        <w:tc>
          <w:tcPr>
            <w:tcW w:w="0" w:type="auto"/>
            <w:gridSpan w:val="2"/>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Amount</w:t>
            </w:r>
            <w:r w:rsidRPr="001A1565">
              <w:rPr>
                <w:rFonts w:ascii="Verdana" w:eastAsia="Times New Roman" w:hAnsi="Verdana" w:cs="Times New Roman"/>
                <w:b/>
                <w:bCs/>
                <w:color w:val="000000"/>
                <w:sz w:val="14"/>
                <w:szCs w:val="14"/>
              </w:rPr>
              <w:br/>
              <w:t>(in pesos)</w:t>
            </w:r>
          </w:p>
        </w:tc>
        <w:tc>
          <w:tcPr>
            <w:tcW w:w="1275" w:type="dxa"/>
            <w:vMerge w:val="restart"/>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Growth Rate </w:t>
            </w:r>
            <w:r w:rsidRPr="001A1565">
              <w:rPr>
                <w:rFonts w:ascii="Verdana" w:eastAsia="Times New Roman" w:hAnsi="Verdana" w:cs="Times New Roman"/>
                <w:color w:val="000000"/>
                <w:sz w:val="14"/>
                <w:szCs w:val="14"/>
              </w:rPr>
              <w:br/>
              <w:t>(in percent)</w:t>
            </w:r>
          </w:p>
        </w:tc>
      </w:tr>
      <w:tr w:rsidR="001A1565" w:rsidRPr="001A1565" w:rsidTr="001A1565">
        <w:trPr>
          <w:trHeight w:val="885"/>
          <w:tblCellSpacing w:w="15" w:type="dxa"/>
          <w:jc w:val="center"/>
        </w:trPr>
        <w:tc>
          <w:tcPr>
            <w:tcW w:w="0" w:type="auto"/>
            <w:vMerge/>
            <w:tcBorders>
              <w:bottom w:val="single" w:sz="6" w:space="0" w:color="CCCCCC"/>
            </w:tcBorders>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p>
        </w:tc>
        <w:tc>
          <w:tcPr>
            <w:tcW w:w="975" w:type="dxa"/>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2004 </w:t>
            </w:r>
            <w:r w:rsidRPr="001A1565">
              <w:rPr>
                <w:rFonts w:ascii="Verdana" w:eastAsia="Times New Roman" w:hAnsi="Verdana" w:cs="Times New Roman"/>
                <w:b/>
                <w:bCs/>
                <w:color w:val="000000"/>
                <w:sz w:val="14"/>
                <w:szCs w:val="14"/>
                <w:vertAlign w:val="superscript"/>
              </w:rPr>
              <w:t>1/</w:t>
            </w:r>
          </w:p>
        </w:tc>
        <w:tc>
          <w:tcPr>
            <w:tcW w:w="915" w:type="dxa"/>
            <w:tcBorders>
              <w:bottom w:val="single" w:sz="6" w:space="0" w:color="CCCCCC"/>
            </w:tcBorders>
            <w:shd w:val="clear" w:color="auto" w:fill="F0F0F0"/>
            <w:tcMar>
              <w:top w:w="45" w:type="dxa"/>
              <w:left w:w="75" w:type="dxa"/>
              <w:bottom w:w="45" w:type="dxa"/>
              <w:right w:w="75" w:type="dxa"/>
            </w:tcMar>
            <w:vAlign w:val="center"/>
            <w:hideMark/>
          </w:tcPr>
          <w:p w:rsidR="001A1565" w:rsidRPr="001A1565" w:rsidRDefault="001A1565" w:rsidP="001A1565">
            <w:pPr>
              <w:spacing w:after="0" w:line="240" w:lineRule="auto"/>
              <w:jc w:val="center"/>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2005</w:t>
            </w:r>
          </w:p>
        </w:tc>
        <w:tc>
          <w:tcPr>
            <w:tcW w:w="0" w:type="auto"/>
            <w:vMerge/>
            <w:tcBorders>
              <w:bottom w:val="single" w:sz="6" w:space="0" w:color="CCCCCC"/>
            </w:tcBorders>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p>
        </w:tc>
      </w:tr>
      <w:tr w:rsidR="001A1565" w:rsidRPr="001A1565" w:rsidTr="001A1565">
        <w:trPr>
          <w:trHeight w:val="45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At Current Prices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Government</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608</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609</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0.2</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Social Insurance</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191</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233</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22.4</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Private Sources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1,156</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1,253</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8.4</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Others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31</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34</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7.7</w:t>
            </w:r>
          </w:p>
        </w:tc>
      </w:tr>
      <w:tr w:rsidR="001A1565" w:rsidRPr="001A1565" w:rsidTr="001A1565">
        <w:trPr>
          <w:trHeight w:val="45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b/>
                <w:bCs/>
                <w:color w:val="000000"/>
                <w:sz w:val="14"/>
                <w:szCs w:val="14"/>
              </w:rPr>
              <w:t>At Constant 1985 Prices </w:t>
            </w:r>
            <w:r w:rsidRPr="001A1565">
              <w:rPr>
                <w:rFonts w:ascii="Verdana" w:eastAsia="Times New Roman" w:hAnsi="Verdana" w:cs="Times New Roman"/>
                <w:b/>
                <w:bCs/>
                <w:color w:val="000000"/>
                <w:sz w:val="14"/>
                <w:szCs w:val="14"/>
                <w:vertAlign w:val="superscript"/>
              </w:rPr>
              <w:t>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Government</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152</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146</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(4.1)</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Social Insurance</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48</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56</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17.1</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Private Sources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289</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300</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3.7</w:t>
            </w:r>
          </w:p>
        </w:tc>
      </w:tr>
      <w:tr w:rsidR="001A1565" w:rsidRPr="001A1565" w:rsidTr="001A1565">
        <w:trPr>
          <w:trHeight w:val="300"/>
          <w:tblCellSpacing w:w="15" w:type="dxa"/>
          <w:jc w:val="center"/>
        </w:trPr>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Others</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18</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20</w:t>
            </w:r>
          </w:p>
        </w:tc>
        <w:tc>
          <w:tcPr>
            <w:tcW w:w="0" w:type="auto"/>
            <w:tcBorders>
              <w:bottom w:val="single" w:sz="6" w:space="0" w:color="CCCCCC"/>
            </w:tcBorders>
            <w:tcMar>
              <w:top w:w="45" w:type="dxa"/>
              <w:left w:w="75" w:type="dxa"/>
              <w:bottom w:w="45" w:type="dxa"/>
              <w:right w:w="75" w:type="dxa"/>
            </w:tcMar>
            <w:vAlign w:val="center"/>
            <w:hideMark/>
          </w:tcPr>
          <w:p w:rsidR="001A1565" w:rsidRPr="001A1565" w:rsidRDefault="001A1565" w:rsidP="001A1565">
            <w:pPr>
              <w:spacing w:after="0" w:line="240" w:lineRule="auto"/>
              <w:jc w:val="right"/>
              <w:rPr>
                <w:rFonts w:ascii="Verdana" w:eastAsia="Times New Roman" w:hAnsi="Verdana" w:cs="Times New Roman"/>
                <w:color w:val="000000"/>
                <w:sz w:val="14"/>
                <w:szCs w:val="14"/>
              </w:rPr>
            </w:pPr>
            <w:r w:rsidRPr="001A1565">
              <w:rPr>
                <w:rFonts w:ascii="Verdana" w:eastAsia="Times New Roman" w:hAnsi="Verdana" w:cs="Times New Roman"/>
                <w:color w:val="000000"/>
                <w:sz w:val="14"/>
                <w:szCs w:val="14"/>
              </w:rPr>
              <w:t>        7.7</w:t>
            </w:r>
          </w:p>
        </w:tc>
      </w:tr>
    </w:tbl>
    <w:p w:rsidR="001A1565" w:rsidRPr="001A1565" w:rsidRDefault="001A1565" w:rsidP="001A1565">
      <w:pPr>
        <w:spacing w:beforeAutospacing="1" w:after="100" w:afterAutospacing="1" w:line="240" w:lineRule="auto"/>
        <w:rPr>
          <w:rFonts w:ascii="Verdana" w:eastAsia="Times New Roman" w:hAnsi="Verdana" w:cs="Times New Roman"/>
          <w:color w:val="666666"/>
          <w:sz w:val="15"/>
          <w:szCs w:val="15"/>
        </w:rPr>
      </w:pPr>
      <w:r w:rsidRPr="001A1565">
        <w:rPr>
          <w:rFonts w:ascii="Verdana" w:eastAsia="Times New Roman" w:hAnsi="Verdana" w:cs="Times New Roman"/>
          <w:color w:val="666666"/>
          <w:sz w:val="15"/>
          <w:szCs w:val="15"/>
        </w:rPr>
        <w:t>1/ Revised </w:t>
      </w:r>
      <w:r w:rsidRPr="001A1565">
        <w:rPr>
          <w:rFonts w:ascii="Verdana" w:eastAsia="Times New Roman" w:hAnsi="Verdana" w:cs="Times New Roman"/>
          <w:color w:val="666666"/>
          <w:sz w:val="15"/>
          <w:szCs w:val="15"/>
        </w:rPr>
        <w:br/>
        <w:t>2/ Derived using the con</w:t>
      </w:r>
      <w:bookmarkStart w:id="0" w:name="_GoBack"/>
      <w:bookmarkEnd w:id="0"/>
      <w:r w:rsidRPr="001A1565">
        <w:rPr>
          <w:rFonts w:ascii="Verdana" w:eastAsia="Times New Roman" w:hAnsi="Verdana" w:cs="Times New Roman"/>
          <w:color w:val="666666"/>
          <w:sz w:val="15"/>
          <w:szCs w:val="15"/>
        </w:rPr>
        <w:t>sumer price index (CPI) for all items</w:t>
      </w:r>
    </w:p>
    <w:sectPr w:rsidR="001A1565" w:rsidRPr="001A1565" w:rsidSect="001A1565">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65"/>
    <w:rsid w:val="001A1565"/>
    <w:rsid w:val="0059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1565"/>
  </w:style>
  <w:style w:type="paragraph" w:customStyle="1" w:styleId="headline">
    <w:name w:val="headline"/>
    <w:basedOn w:val="Normal"/>
    <w:rsid w:val="001A15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5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565"/>
    <w:rPr>
      <w:b/>
      <w:bCs/>
    </w:rPr>
  </w:style>
  <w:style w:type="paragraph" w:customStyle="1" w:styleId="notes">
    <w:name w:val="notes"/>
    <w:basedOn w:val="Normal"/>
    <w:rsid w:val="001A1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2table">
    <w:name w:val="pagetitle2table"/>
    <w:basedOn w:val="Normal"/>
    <w:rsid w:val="001A15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1565"/>
  </w:style>
  <w:style w:type="paragraph" w:customStyle="1" w:styleId="headline">
    <w:name w:val="headline"/>
    <w:basedOn w:val="Normal"/>
    <w:rsid w:val="001A15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5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565"/>
    <w:rPr>
      <w:b/>
      <w:bCs/>
    </w:rPr>
  </w:style>
  <w:style w:type="paragraph" w:customStyle="1" w:styleId="notes">
    <w:name w:val="notes"/>
    <w:basedOn w:val="Normal"/>
    <w:rsid w:val="001A1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2table">
    <w:name w:val="pagetitle2table"/>
    <w:basedOn w:val="Normal"/>
    <w:rsid w:val="001A15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3101">
      <w:bodyDiv w:val="1"/>
      <w:marLeft w:val="0"/>
      <w:marRight w:val="0"/>
      <w:marTop w:val="0"/>
      <w:marBottom w:val="0"/>
      <w:divBdr>
        <w:top w:val="none" w:sz="0" w:space="0" w:color="auto"/>
        <w:left w:val="none" w:sz="0" w:space="0" w:color="auto"/>
        <w:bottom w:val="none" w:sz="0" w:space="0" w:color="auto"/>
        <w:right w:val="none" w:sz="0" w:space="0" w:color="auto"/>
      </w:divBdr>
      <w:divsChild>
        <w:div w:id="172636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48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84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c:creator>
  <cp:lastModifiedBy>PSA</cp:lastModifiedBy>
  <cp:revision>1</cp:revision>
  <dcterms:created xsi:type="dcterms:W3CDTF">2016-12-16T00:23:00Z</dcterms:created>
  <dcterms:modified xsi:type="dcterms:W3CDTF">2016-12-16T00:28:00Z</dcterms:modified>
</cp:coreProperties>
</file>