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34" w:rsidRPr="006B6134" w:rsidRDefault="006B6134" w:rsidP="006B6134">
      <w:pPr>
        <w:spacing w:before="100" w:beforeAutospacing="1" w:after="100" w:afterAutospacing="1" w:line="240" w:lineRule="auto"/>
        <w:rPr>
          <w:rFonts w:ascii="Arial" w:eastAsia="Times New Roman" w:hAnsi="Arial" w:cs="Arial"/>
          <w:color w:val="222222"/>
          <w:sz w:val="20"/>
          <w:szCs w:val="20"/>
          <w:lang w:eastAsia="en-PH"/>
        </w:rPr>
      </w:pPr>
      <w:r w:rsidRPr="006B6134">
        <w:rPr>
          <w:rFonts w:ascii="Arial" w:eastAsia="Times New Roman" w:hAnsi="Arial" w:cs="Arial"/>
          <w:b/>
          <w:bCs/>
          <w:color w:val="222222"/>
          <w:sz w:val="20"/>
          <w:szCs w:val="20"/>
          <w:lang w:eastAsia="en-PH"/>
        </w:rPr>
        <w:t>Resolutions Approved by the NSCB Executive Board</w:t>
      </w:r>
    </w:p>
    <w:p w:rsidR="006B6134" w:rsidRPr="006B6134" w:rsidRDefault="006B6134" w:rsidP="006B6134">
      <w:pPr>
        <w:spacing w:before="100" w:beforeAutospacing="1" w:after="100" w:afterAutospacing="1" w:line="240" w:lineRule="auto"/>
        <w:rPr>
          <w:rFonts w:ascii="Arial" w:eastAsia="Times New Roman" w:hAnsi="Arial" w:cs="Arial"/>
          <w:color w:val="222222"/>
          <w:sz w:val="20"/>
          <w:szCs w:val="20"/>
          <w:lang w:eastAsia="en-PH"/>
        </w:rPr>
      </w:pPr>
      <w:r w:rsidRPr="006B6134">
        <w:rPr>
          <w:rFonts w:ascii="Arial" w:eastAsia="Times New Roman" w:hAnsi="Arial" w:cs="Arial"/>
          <w:color w:val="222222"/>
          <w:sz w:val="20"/>
          <w:szCs w:val="20"/>
          <w:lang w:eastAsia="en-PH"/>
        </w:rPr>
        <w:t>Series of 2003 </w:t>
      </w:r>
      <w:r w:rsidRPr="006B6134">
        <w:rPr>
          <w:rFonts w:ascii="Arial" w:eastAsia="Times New Roman" w:hAnsi="Arial" w:cs="Arial"/>
          <w:noProof/>
          <w:color w:val="222222"/>
          <w:sz w:val="20"/>
          <w:szCs w:val="20"/>
          <w:lang w:eastAsia="en-PH"/>
        </w:rPr>
        <mc:AlternateContent>
          <mc:Choice Requires="wps">
            <w:drawing>
              <wp:inline distT="0" distB="0" distL="0" distR="0" wp14:anchorId="7EF27627" wp14:editId="36ABBA91">
                <wp:extent cx="101600" cy="101600"/>
                <wp:effectExtent l="0" t="0" r="0" b="0"/>
                <wp:docPr id="1" name="Rectangle 1" descr="https://psa.gov.ph/images/squar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psa.gov.ph/images/square.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omzAIAAOQFAAAOAAAAZHJzL2Uyb0RvYy54bWysVNtu2zAMfR+wfxD07vgy52KjTtHG8TCg&#10;24p1+wDFlm1htqRJSpx22L+PkpM0aV+GbX4QJFI+JA+PeHW97zu0o0ozwTMcTgKMKC9FxXiT4W9f&#10;C2+BkTaEV6QTnGb4kWp8vXz75mqQKY1EK7qKKgQgXKeDzHBrjEx9X5ct7YmeCEk5OGuhemLgqBq/&#10;UmQA9L7zoyCY+YNQlVSipFqDNR+deOnw65qW5nNda2pQl2HIzbhVuXVjV395RdJGEdmy8pAG+Yss&#10;esI4BD1B5cQQtFXsFVTPSiW0qM2kFL0v6pqV1NUA1YTBi2oeWiKpqwXI0fJEk/5/sOWn3b1CrILe&#10;YcRJDy36AqQR3nQUgamiugS6bFs09EVqMmnEbiJbn/WkodrXP7ZE0UnDasvlALcA8kHeK8uGlnei&#10;/K4RF6sWIOmNlgA+xjqalBJDS0kFRYUWwr/AsAcNaGgzfBQVZEe2Rjim97XqbQzgEO1dQx9PDaV7&#10;g0owhkE4C6DtJbgOexuBpMefpdLmPRU9spsMK8jOgZPdnTbj1eMVG4uLgnUd2Ena8QsDYI4WCA2/&#10;Wp9NwkngZxIk68V6EXtxNFt7cZDn3k2xir1ZEc6n+bt8tcrDXzZuGKctqyrKbZijHMP4z9p9eBij&#10;kE6C1KJjlYWzKWnVbFadQjsCz6Fwn6McPM/X/Ms0HF9Qy4uSwigObqPEK2aLuRcX8dRL5sHCC8Lk&#10;NpkFcRLnxWVJd4zTfy8JDRlOptHUdeks6Re1Be57XRtJe2Zg4HSsz/DidImkVoFrXrnWGsK6cX9G&#10;hU3/mQpo97HRTq9WoqP6N6J6BLkqAXIC5cFohE0r1BNGA4yZDI8PBqPuAwfJJ2Ec27nkDvF0HsFB&#10;nXs25x7CS4DKsMFo3K7MOMu2UrGmhUihI4aLG3gmNXMStk9ozOrwuGCUuEoOY8/OqvOzu/U8nJe/&#10;AQAA//8DAFBLAwQUAAYACAAAACEAXTFIhNgAAAADAQAADwAAAGRycy9kb3ducmV2LnhtbEyPQUvD&#10;QBCF74L/YRnBi9iNHorEbIoUxCJCMdWep9lpEpqdTbPbJP57p3rQywyPN7z5XraYXKsG6kPj2cDd&#10;LAFFXHrbcGXgY/N8+wAqRGSLrWcy8EUBFvnlRYap9SO/01DESkkIhxQN1DF2qdahrMlhmPmOWLy9&#10;7x1GkX2lbY+jhLtW3yfJXDtsWD7U2NGypvJQnJyBsVwP283bi17fbFeej6vjsvh8Neb6anp6BBVp&#10;in/HcMYXdMiFaedPbINqDUiR+DPP3lzU7nfrPNP/2fNvAAAA//8DAFBLAQItABQABgAIAAAAIQC2&#10;gziS/gAAAOEBAAATAAAAAAAAAAAAAAAAAAAAAABbQ29udGVudF9UeXBlc10ueG1sUEsBAi0AFAAG&#10;AAgAAAAhADj9If/WAAAAlAEAAAsAAAAAAAAAAAAAAAAALwEAAF9yZWxzLy5yZWxzUEsBAi0AFAAG&#10;AAgAAAAhAB1K2ibMAgAA5AUAAA4AAAAAAAAAAAAAAAAALgIAAGRycy9lMm9Eb2MueG1sUEsBAi0A&#10;FAAGAAgAAAAhAF0xSITYAAAAAwEAAA8AAAAAAAAAAAAAAAAAJgUAAGRycy9kb3ducmV2LnhtbFBL&#10;BQYAAAAABAAEAPMAAAArBgAAAAA=&#10;" filled="f" stroked="f">
                <o:lock v:ext="edit" aspectratio="t"/>
                <w10:anchorlock/>
              </v:rect>
            </w:pict>
          </mc:Fallback>
        </mc:AlternateContent>
      </w:r>
    </w:p>
    <w:p w:rsidR="006B6134" w:rsidRPr="006B6134" w:rsidRDefault="006B6134" w:rsidP="006B6134">
      <w:pPr>
        <w:spacing w:before="100" w:beforeAutospacing="1" w:after="100" w:afterAutospacing="1" w:line="240" w:lineRule="auto"/>
        <w:jc w:val="center"/>
        <w:rPr>
          <w:rFonts w:ascii="Arial" w:eastAsia="Times New Roman" w:hAnsi="Arial" w:cs="Arial"/>
          <w:color w:val="222222"/>
          <w:sz w:val="20"/>
          <w:szCs w:val="20"/>
          <w:lang w:eastAsia="en-PH"/>
        </w:rPr>
      </w:pPr>
      <w:r w:rsidRPr="006B6134">
        <w:rPr>
          <w:rFonts w:ascii="Arial" w:eastAsia="Times New Roman" w:hAnsi="Arial" w:cs="Arial"/>
          <w:color w:val="222222"/>
          <w:sz w:val="20"/>
          <w:szCs w:val="20"/>
          <w:lang w:eastAsia="en-PH"/>
        </w:rPr>
        <w:t>NSCB Resolution No. 16</w:t>
      </w:r>
      <w:r w:rsidRPr="006B6134">
        <w:rPr>
          <w:rFonts w:ascii="Arial" w:eastAsia="Times New Roman" w:hAnsi="Arial" w:cs="Arial"/>
          <w:color w:val="222222"/>
          <w:sz w:val="20"/>
          <w:szCs w:val="20"/>
          <w:lang w:eastAsia="en-PH"/>
        </w:rPr>
        <w:br/>
        <w:t>Series of 2003</w:t>
      </w:r>
    </w:p>
    <w:p w:rsidR="006B6134" w:rsidRPr="006B6134" w:rsidRDefault="006B6134" w:rsidP="006B6134">
      <w:pPr>
        <w:spacing w:before="100" w:beforeAutospacing="1" w:after="100" w:afterAutospacing="1" w:line="240" w:lineRule="auto"/>
        <w:jc w:val="center"/>
        <w:rPr>
          <w:rFonts w:ascii="Arial" w:eastAsia="Times New Roman" w:hAnsi="Arial" w:cs="Arial"/>
          <w:color w:val="222222"/>
          <w:sz w:val="20"/>
          <w:szCs w:val="20"/>
          <w:lang w:eastAsia="en-PH"/>
        </w:rPr>
      </w:pPr>
      <w:r w:rsidRPr="006B6134">
        <w:rPr>
          <w:rFonts w:ascii="Arial" w:eastAsia="Times New Roman" w:hAnsi="Arial" w:cs="Arial"/>
          <w:color w:val="222222"/>
          <w:sz w:val="20"/>
          <w:szCs w:val="20"/>
          <w:lang w:eastAsia="en-PH"/>
        </w:rPr>
        <w:t>Annex-BR-16-2003-1</w:t>
      </w:r>
    </w:p>
    <w:p w:rsidR="006B6134" w:rsidRPr="006B6134" w:rsidRDefault="006B6134" w:rsidP="006B6134">
      <w:pPr>
        <w:spacing w:before="100" w:beforeAutospacing="1" w:after="100" w:afterAutospacing="1" w:line="240" w:lineRule="auto"/>
        <w:jc w:val="center"/>
        <w:rPr>
          <w:rFonts w:ascii="Arial" w:eastAsia="Times New Roman" w:hAnsi="Arial" w:cs="Arial"/>
          <w:b/>
          <w:bCs/>
          <w:color w:val="222222"/>
          <w:sz w:val="20"/>
          <w:szCs w:val="20"/>
          <w:lang w:eastAsia="en-PH"/>
        </w:rPr>
      </w:pPr>
      <w:r w:rsidRPr="006B6134">
        <w:rPr>
          <w:rFonts w:ascii="Arial" w:eastAsia="Times New Roman" w:hAnsi="Arial" w:cs="Arial"/>
          <w:b/>
          <w:bCs/>
          <w:color w:val="222222"/>
          <w:sz w:val="20"/>
          <w:szCs w:val="20"/>
          <w:lang w:eastAsia="en-PH"/>
        </w:rPr>
        <w:t>ADOPTING A SET OF CRITERIA</w:t>
      </w:r>
      <w:r w:rsidRPr="006B6134">
        <w:rPr>
          <w:rFonts w:ascii="Arial" w:eastAsia="Times New Roman" w:hAnsi="Arial" w:cs="Arial"/>
          <w:b/>
          <w:bCs/>
          <w:color w:val="222222"/>
          <w:sz w:val="20"/>
          <w:szCs w:val="20"/>
          <w:lang w:eastAsia="en-PH"/>
        </w:rPr>
        <w:br/>
        <w:t>FOR IDENTIFYING THE INFORMAL SECTOR</w:t>
      </w:r>
    </w:p>
    <w:p w:rsidR="006B6134" w:rsidRPr="006B6134" w:rsidRDefault="006B6134" w:rsidP="006B6134">
      <w:pPr>
        <w:spacing w:before="100" w:beforeAutospacing="1" w:after="100" w:afterAutospacing="1" w:line="240" w:lineRule="auto"/>
        <w:jc w:val="center"/>
        <w:rPr>
          <w:rFonts w:ascii="Arial" w:eastAsia="Times New Roman" w:hAnsi="Arial" w:cs="Arial"/>
          <w:b/>
          <w:bCs/>
          <w:color w:val="222222"/>
          <w:sz w:val="20"/>
          <w:szCs w:val="20"/>
          <w:lang w:eastAsia="en-PH"/>
        </w:rPr>
      </w:pPr>
      <w:r w:rsidRPr="006B6134">
        <w:rPr>
          <w:rFonts w:ascii="Arial" w:eastAsia="Times New Roman" w:hAnsi="Arial" w:cs="Arial"/>
          <w:b/>
          <w:bCs/>
          <w:color w:val="222222"/>
          <w:sz w:val="20"/>
          <w:szCs w:val="20"/>
          <w:lang w:eastAsia="en-PH"/>
        </w:rPr>
        <w:t>CRITERIA FOR IDENTIFYING THE INFORMAL SECTOR</w:t>
      </w:r>
    </w:p>
    <w:p w:rsidR="006B6134" w:rsidRPr="006B6134" w:rsidRDefault="006B6134" w:rsidP="006B6134">
      <w:pPr>
        <w:spacing w:after="0" w:line="240" w:lineRule="auto"/>
        <w:jc w:val="center"/>
        <w:rPr>
          <w:rFonts w:ascii="Arial" w:eastAsia="Times New Roman" w:hAnsi="Arial" w:cs="Arial"/>
          <w:color w:val="222222"/>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color w:val="222222"/>
          <w:sz w:val="20"/>
          <w:szCs w:val="20"/>
          <w:lang w:eastAsia="en-PH"/>
        </w:rPr>
      </w:pPr>
      <w:r w:rsidRPr="006B6134">
        <w:rPr>
          <w:rFonts w:ascii="Arial" w:eastAsia="Times New Roman" w:hAnsi="Arial" w:cs="Arial"/>
          <w:color w:val="222222"/>
          <w:sz w:val="20"/>
          <w:szCs w:val="20"/>
          <w:lang w:eastAsia="en-PH"/>
        </w:rPr>
        <w:t>The informal sector is defined irrespective of the kind of workplace where the productive activities are carried out, the extent of fixed capital assets used, the duration of the operation of the enterprise (perennial, seasonal, or casual), and its operation as a main or secondary activity of the owner. In order to determine whether a particular economic unit or activity falls under the informal sector, the following criteria must be satisfied:</w:t>
      </w:r>
    </w:p>
    <w:p w:rsidR="006B6134" w:rsidRPr="006B6134" w:rsidRDefault="006B6134" w:rsidP="006B6134">
      <w:pPr>
        <w:spacing w:after="0" w:line="240" w:lineRule="auto"/>
        <w:rPr>
          <w:rFonts w:ascii="Arial" w:eastAsia="Times New Roman" w:hAnsi="Arial" w:cs="Arial"/>
          <w:color w:val="222222"/>
          <w:sz w:val="20"/>
          <w:szCs w:val="20"/>
          <w:lang w:eastAsia="en-PH"/>
        </w:rPr>
      </w:pPr>
    </w:p>
    <w:tbl>
      <w:tblPr>
        <w:tblW w:w="8040" w:type="dxa"/>
        <w:jc w:val="center"/>
        <w:tblCellSpacing w:w="0" w:type="dxa"/>
        <w:tblBorders>
          <w:top w:val="dotted" w:sz="6" w:space="0" w:color="D3D3D3"/>
          <w:left w:val="dotted" w:sz="6" w:space="0" w:color="D3D3D3"/>
          <w:bottom w:val="dotted" w:sz="6" w:space="0" w:color="D3D3D3"/>
          <w:right w:val="dotted" w:sz="6" w:space="0" w:color="D3D3D3"/>
        </w:tblBorders>
        <w:tblCellMar>
          <w:top w:w="120" w:type="dxa"/>
          <w:left w:w="120" w:type="dxa"/>
          <w:bottom w:w="120" w:type="dxa"/>
          <w:right w:w="120" w:type="dxa"/>
        </w:tblCellMar>
        <w:tblLook w:val="04A0" w:firstRow="1" w:lastRow="0" w:firstColumn="1" w:lastColumn="0" w:noHBand="0" w:noVBand="1"/>
      </w:tblPr>
      <w:tblGrid>
        <w:gridCol w:w="4387"/>
        <w:gridCol w:w="3653"/>
      </w:tblGrid>
      <w:tr w:rsidR="006B6134" w:rsidRPr="006B6134" w:rsidTr="006B6134">
        <w:trPr>
          <w:tblCellSpacing w:w="0" w:type="dxa"/>
          <w:jc w:val="center"/>
        </w:trPr>
        <w:tc>
          <w:tcPr>
            <w:tcW w:w="4125" w:type="dxa"/>
            <w:tcBorders>
              <w:top w:val="dotted" w:sz="6" w:space="0" w:color="D3D3D3"/>
              <w:left w:val="dotted" w:sz="6" w:space="0" w:color="D3D3D3"/>
              <w:bottom w:val="dotted" w:sz="6" w:space="0" w:color="D3D3D3"/>
              <w:right w:val="dotted" w:sz="6" w:space="0" w:color="D3D3D3"/>
            </w:tcBorders>
            <w:vAlign w:val="center"/>
            <w:hideMark/>
          </w:tcPr>
          <w:p w:rsidR="006B6134" w:rsidRPr="006B6134" w:rsidRDefault="006B6134" w:rsidP="006B6134">
            <w:pPr>
              <w:spacing w:after="0" w:line="240" w:lineRule="auto"/>
              <w:jc w:val="center"/>
              <w:rPr>
                <w:rFonts w:ascii="Arial" w:eastAsia="Times New Roman" w:hAnsi="Arial" w:cs="Arial"/>
                <w:sz w:val="20"/>
                <w:szCs w:val="20"/>
                <w:lang w:eastAsia="en-PH"/>
              </w:rPr>
            </w:pPr>
            <w:r w:rsidRPr="006B6134">
              <w:rPr>
                <w:rFonts w:ascii="Arial" w:eastAsia="Times New Roman" w:hAnsi="Arial" w:cs="Arial"/>
                <w:sz w:val="20"/>
                <w:szCs w:val="20"/>
                <w:lang w:eastAsia="en-PH"/>
              </w:rPr>
              <w:t>CRITERION</w:t>
            </w:r>
          </w:p>
        </w:tc>
        <w:tc>
          <w:tcPr>
            <w:tcW w:w="3435" w:type="dxa"/>
            <w:tcBorders>
              <w:top w:val="dotted" w:sz="6" w:space="0" w:color="D3D3D3"/>
              <w:left w:val="dotted" w:sz="6" w:space="0" w:color="D3D3D3"/>
              <w:bottom w:val="dotted" w:sz="6" w:space="0" w:color="D3D3D3"/>
              <w:right w:val="dotted" w:sz="6" w:space="0" w:color="D3D3D3"/>
            </w:tcBorders>
            <w:vAlign w:val="center"/>
            <w:hideMark/>
          </w:tcPr>
          <w:p w:rsidR="006B6134" w:rsidRPr="006B6134" w:rsidRDefault="006B6134" w:rsidP="006B6134">
            <w:pPr>
              <w:spacing w:after="0" w:line="240" w:lineRule="auto"/>
              <w:jc w:val="center"/>
              <w:rPr>
                <w:rFonts w:ascii="Arial" w:eastAsia="Times New Roman" w:hAnsi="Arial" w:cs="Arial"/>
                <w:sz w:val="20"/>
                <w:szCs w:val="20"/>
                <w:lang w:eastAsia="en-PH"/>
              </w:rPr>
            </w:pPr>
            <w:r w:rsidRPr="006B6134">
              <w:rPr>
                <w:rFonts w:ascii="Arial" w:eastAsia="Times New Roman" w:hAnsi="Arial" w:cs="Arial"/>
                <w:sz w:val="20"/>
                <w:szCs w:val="20"/>
                <w:lang w:eastAsia="en-PH"/>
              </w:rPr>
              <w:t>DESCRIPTION</w:t>
            </w:r>
          </w:p>
        </w:tc>
      </w:tr>
      <w:tr w:rsidR="006B6134" w:rsidRPr="006B6134" w:rsidTr="006B6134">
        <w:trPr>
          <w:tblCellSpacing w:w="0" w:type="dxa"/>
          <w:jc w:val="center"/>
        </w:trPr>
        <w:tc>
          <w:tcPr>
            <w:tcW w:w="412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1. Enterprise ownership</w:t>
            </w:r>
          </w:p>
        </w:tc>
        <w:tc>
          <w:tcPr>
            <w:tcW w:w="343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jc w:val="center"/>
              <w:rPr>
                <w:rFonts w:ascii="Arial" w:eastAsia="Times New Roman" w:hAnsi="Arial" w:cs="Arial"/>
                <w:sz w:val="20"/>
                <w:szCs w:val="20"/>
                <w:lang w:eastAsia="en-PH"/>
              </w:rPr>
            </w:pPr>
            <w:r w:rsidRPr="006B6134">
              <w:rPr>
                <w:rFonts w:ascii="Arial" w:eastAsia="Times New Roman" w:hAnsi="Arial" w:cs="Arial"/>
                <w:sz w:val="20"/>
                <w:szCs w:val="20"/>
                <w:lang w:eastAsia="en-PH"/>
              </w:rPr>
              <w:t>Households</w:t>
            </w:r>
          </w:p>
        </w:tc>
      </w:tr>
      <w:tr w:rsidR="006B6134" w:rsidRPr="006B6134" w:rsidTr="006B6134">
        <w:trPr>
          <w:tblCellSpacing w:w="0" w:type="dxa"/>
          <w:jc w:val="center"/>
        </w:trPr>
        <w:tc>
          <w:tcPr>
            <w:tcW w:w="412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2. Legal organization</w:t>
            </w:r>
          </w:p>
        </w:tc>
        <w:tc>
          <w:tcPr>
            <w:tcW w:w="343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Household enterprises, which refer to unincorporated enterprises owned by households, are units engaged in the production of goods and/or services that are not constituted as legal entities independent of the households or household members that own them</w:t>
            </w:r>
          </w:p>
        </w:tc>
      </w:tr>
      <w:tr w:rsidR="006B6134" w:rsidRPr="006B6134" w:rsidTr="006B6134">
        <w:trPr>
          <w:tblCellSpacing w:w="0" w:type="dxa"/>
          <w:jc w:val="center"/>
        </w:trPr>
        <w:tc>
          <w:tcPr>
            <w:tcW w:w="412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3. Type of accounts</w:t>
            </w:r>
          </w:p>
        </w:tc>
        <w:tc>
          <w:tcPr>
            <w:tcW w:w="343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No complete set of accounts that will distinguish production activities, flows of income and capital between the households and the enterprises</w:t>
            </w:r>
          </w:p>
        </w:tc>
      </w:tr>
      <w:tr w:rsidR="006B6134" w:rsidRPr="006B6134" w:rsidTr="006B6134">
        <w:trPr>
          <w:tblCellSpacing w:w="0" w:type="dxa"/>
          <w:jc w:val="center"/>
        </w:trPr>
        <w:tc>
          <w:tcPr>
            <w:tcW w:w="412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4. Characteristics relative to employment</w:t>
            </w: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 Informal own-account enterprises</w:t>
            </w: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 Enterprises of informal employers</w:t>
            </w:r>
          </w:p>
        </w:tc>
        <w:tc>
          <w:tcPr>
            <w:tcW w:w="343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jc w:val="center"/>
              <w:rPr>
                <w:rFonts w:ascii="Arial" w:eastAsia="Times New Roman" w:hAnsi="Arial" w:cs="Arial"/>
                <w:sz w:val="20"/>
                <w:szCs w:val="20"/>
                <w:lang w:eastAsia="en-PH"/>
              </w:rPr>
            </w:pPr>
          </w:p>
          <w:p w:rsidR="006B6134" w:rsidRPr="006B6134" w:rsidRDefault="006B6134" w:rsidP="006B6134">
            <w:pPr>
              <w:spacing w:before="100" w:beforeAutospacing="1" w:after="100" w:afterAutospacing="1" w:line="240" w:lineRule="auto"/>
              <w:jc w:val="center"/>
              <w:rPr>
                <w:rFonts w:ascii="Arial" w:eastAsia="Times New Roman" w:hAnsi="Arial" w:cs="Arial"/>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 xml:space="preserve">Household enterprises owned and operated by own-account workers, either alone or in partnership with members of the same or other households, which may employ contributing family workers and employees on an occasional basis, </w:t>
            </w:r>
            <w:r w:rsidRPr="006B6134">
              <w:rPr>
                <w:rFonts w:ascii="Arial" w:eastAsia="Times New Roman" w:hAnsi="Arial" w:cs="Arial"/>
                <w:sz w:val="20"/>
                <w:szCs w:val="20"/>
                <w:lang w:eastAsia="en-PH"/>
              </w:rPr>
              <w:lastRenderedPageBreak/>
              <w:t>but do not employ employees on a continuous basis</w:t>
            </w: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Household enterprises owned and operated by employers, either alone or in partnership with members of the same or other households, which employ one or more employees on a continuous basis</w:t>
            </w:r>
          </w:p>
        </w:tc>
      </w:tr>
      <w:tr w:rsidR="006B6134" w:rsidRPr="006B6134" w:rsidTr="006B6134">
        <w:trPr>
          <w:tblCellSpacing w:w="0" w:type="dxa"/>
          <w:jc w:val="center"/>
        </w:trPr>
        <w:tc>
          <w:tcPr>
            <w:tcW w:w="412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lastRenderedPageBreak/>
              <w:t>5. Product destination</w:t>
            </w:r>
          </w:p>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p>
        </w:tc>
        <w:tc>
          <w:tcPr>
            <w:tcW w:w="3435" w:type="dxa"/>
            <w:tcBorders>
              <w:top w:val="dotted" w:sz="6" w:space="0" w:color="D3D3D3"/>
              <w:left w:val="dotted" w:sz="6" w:space="0" w:color="D3D3D3"/>
              <w:bottom w:val="dotted" w:sz="6" w:space="0" w:color="D3D3D3"/>
              <w:right w:val="dotted" w:sz="6" w:space="0" w:color="D3D3D3"/>
            </w:tcBorders>
            <w:hideMark/>
          </w:tcPr>
          <w:p w:rsidR="006B6134" w:rsidRPr="006B6134" w:rsidRDefault="006B6134" w:rsidP="006B6134">
            <w:pPr>
              <w:spacing w:before="100" w:beforeAutospacing="1" w:after="100" w:afterAutospacing="1" w:line="240" w:lineRule="auto"/>
              <w:rPr>
                <w:rFonts w:ascii="Arial" w:eastAsia="Times New Roman" w:hAnsi="Arial" w:cs="Arial"/>
                <w:sz w:val="20"/>
                <w:szCs w:val="20"/>
                <w:lang w:eastAsia="en-PH"/>
              </w:rPr>
            </w:pPr>
            <w:r w:rsidRPr="006B6134">
              <w:rPr>
                <w:rFonts w:ascii="Arial" w:eastAsia="Times New Roman" w:hAnsi="Arial" w:cs="Arial"/>
                <w:sz w:val="20"/>
                <w:szCs w:val="20"/>
                <w:lang w:eastAsia="en-PH"/>
              </w:rPr>
              <w:t>At least some market output, hence, not entirely for own consumption</w:t>
            </w:r>
          </w:p>
        </w:tc>
      </w:tr>
    </w:tbl>
    <w:p w:rsidR="006B6134" w:rsidRPr="006B6134" w:rsidRDefault="006B6134" w:rsidP="006B6134">
      <w:pPr>
        <w:spacing w:before="100" w:beforeAutospacing="1" w:after="100" w:afterAutospacing="1" w:line="240" w:lineRule="auto"/>
        <w:ind w:firstLine="720"/>
        <w:jc w:val="both"/>
        <w:rPr>
          <w:rFonts w:ascii="Arial" w:eastAsia="Times New Roman" w:hAnsi="Arial" w:cs="Arial"/>
          <w:color w:val="222222"/>
          <w:sz w:val="20"/>
          <w:szCs w:val="20"/>
          <w:lang w:eastAsia="en-PH"/>
        </w:rPr>
      </w:pPr>
    </w:p>
    <w:p w:rsidR="006B6134" w:rsidRPr="006B6134" w:rsidRDefault="006B6134" w:rsidP="006B6134">
      <w:pPr>
        <w:spacing w:before="100" w:beforeAutospacing="1" w:after="100" w:afterAutospacing="1" w:line="240" w:lineRule="auto"/>
        <w:rPr>
          <w:rFonts w:ascii="Arial" w:eastAsia="Times New Roman" w:hAnsi="Arial" w:cs="Arial"/>
          <w:color w:val="222222"/>
          <w:sz w:val="20"/>
          <w:szCs w:val="20"/>
          <w:lang w:eastAsia="en-PH"/>
        </w:rPr>
      </w:pPr>
      <w:r w:rsidRPr="006B6134">
        <w:rPr>
          <w:rFonts w:ascii="Arial" w:eastAsia="Times New Roman" w:hAnsi="Arial" w:cs="Arial"/>
          <w:color w:val="222222"/>
          <w:sz w:val="20"/>
          <w:szCs w:val="20"/>
          <w:lang w:eastAsia="en-PH"/>
        </w:rPr>
        <w:t>Applying the above set of criteria, the following cases are excluded from the informal sector:</w:t>
      </w:r>
    </w:p>
    <w:p w:rsidR="006B6134" w:rsidRPr="006B6134" w:rsidRDefault="006B6134" w:rsidP="006B6134">
      <w:pPr>
        <w:spacing w:before="100" w:beforeAutospacing="1" w:after="100" w:afterAutospacing="1" w:line="240" w:lineRule="auto"/>
        <w:rPr>
          <w:rFonts w:ascii="Arial" w:eastAsia="Times New Roman" w:hAnsi="Arial" w:cs="Arial"/>
          <w:color w:val="222222"/>
          <w:sz w:val="18"/>
          <w:szCs w:val="18"/>
          <w:lang w:eastAsia="en-PH"/>
        </w:rPr>
      </w:pPr>
      <w:r w:rsidRPr="006B6134">
        <w:rPr>
          <w:rFonts w:ascii="Arial" w:eastAsia="Times New Roman" w:hAnsi="Arial" w:cs="Arial"/>
          <w:color w:val="222222"/>
          <w:sz w:val="20"/>
          <w:szCs w:val="20"/>
          <w:lang w:eastAsia="en-PH"/>
        </w:rPr>
        <w:t>(1) Single proprietorships, partnerships and corporations (including corporate farms, commercial livestock raising, commercial fishing and similar units);</w:t>
      </w:r>
      <w:r w:rsidRPr="006B6134">
        <w:rPr>
          <w:rFonts w:ascii="Arial" w:eastAsia="Times New Roman" w:hAnsi="Arial" w:cs="Arial"/>
          <w:color w:val="222222"/>
          <w:sz w:val="20"/>
          <w:szCs w:val="20"/>
          <w:lang w:eastAsia="en-PH"/>
        </w:rPr>
        <w:br/>
        <w:t>(2) Quasi-corporations;</w:t>
      </w:r>
      <w:r w:rsidRPr="006B6134">
        <w:rPr>
          <w:rFonts w:ascii="Arial" w:eastAsia="Times New Roman" w:hAnsi="Arial" w:cs="Arial"/>
          <w:color w:val="222222"/>
          <w:sz w:val="20"/>
          <w:szCs w:val="20"/>
          <w:lang w:eastAsia="en-PH"/>
        </w:rPr>
        <w:br/>
        <w:t>(3) Units with ten or more employees (unless they satisfy all the criteria);</w:t>
      </w:r>
      <w:r w:rsidRPr="006B6134">
        <w:rPr>
          <w:rFonts w:ascii="Arial" w:eastAsia="Times New Roman" w:hAnsi="Arial" w:cs="Arial"/>
          <w:color w:val="222222"/>
          <w:sz w:val="20"/>
          <w:szCs w:val="20"/>
          <w:lang w:eastAsia="en-PH"/>
        </w:rPr>
        <w:br/>
        <w:t>(4) Domestic helpers hired by households;</w:t>
      </w:r>
      <w:r w:rsidRPr="006B6134">
        <w:rPr>
          <w:rFonts w:ascii="Arial" w:eastAsia="Times New Roman" w:hAnsi="Arial" w:cs="Arial"/>
          <w:color w:val="222222"/>
          <w:sz w:val="20"/>
          <w:szCs w:val="20"/>
          <w:lang w:eastAsia="en-PH"/>
        </w:rPr>
        <w:br/>
        <w:t>(5) Units engaged in professional services (unless they satisfy all the criteria);</w:t>
      </w:r>
      <w:r w:rsidRPr="006B6134">
        <w:rPr>
          <w:rFonts w:ascii="Arial" w:eastAsia="Times New Roman" w:hAnsi="Arial" w:cs="Arial"/>
          <w:color w:val="222222"/>
          <w:sz w:val="20"/>
          <w:szCs w:val="20"/>
          <w:lang w:eastAsia="en-PH"/>
        </w:rPr>
        <w:br/>
        <w:t>(6) Farms managed by cooperatives; and</w:t>
      </w:r>
      <w:r w:rsidRPr="006B6134">
        <w:rPr>
          <w:rFonts w:ascii="Arial" w:eastAsia="Times New Roman" w:hAnsi="Arial" w:cs="Arial"/>
          <w:color w:val="222222"/>
          <w:sz w:val="20"/>
          <w:szCs w:val="20"/>
          <w:lang w:eastAsia="en-PH"/>
        </w:rPr>
        <w:br/>
        <w:t>(7) Farms, regardless of size, keeping sets of accounts separate from the households</w:t>
      </w:r>
    </w:p>
    <w:p w:rsidR="00AB46F8" w:rsidRDefault="00AB46F8">
      <w:bookmarkStart w:id="0" w:name="_GoBack"/>
      <w:bookmarkEnd w:id="0"/>
    </w:p>
    <w:sectPr w:rsidR="00AB4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34"/>
    <w:rsid w:val="006B6134"/>
    <w:rsid w:val="00AB46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6B6134"/>
    <w:rPr>
      <w:b/>
      <w:bCs/>
    </w:rPr>
  </w:style>
  <w:style w:type="paragraph" w:customStyle="1" w:styleId="pagetitle2">
    <w:name w:val="pagetitle2"/>
    <w:basedOn w:val="Normal"/>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headline">
    <w:name w:val="headline"/>
    <w:basedOn w:val="Normal"/>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rmalWeb">
    <w:name w:val="Normal (Web)"/>
    <w:basedOn w:val="Normal"/>
    <w:uiPriority w:val="99"/>
    <w:unhideWhenUsed/>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6B6134"/>
    <w:rPr>
      <w:b/>
      <w:bCs/>
    </w:rPr>
  </w:style>
  <w:style w:type="paragraph" w:customStyle="1" w:styleId="pagetitle2">
    <w:name w:val="pagetitle2"/>
    <w:basedOn w:val="Normal"/>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headline">
    <w:name w:val="headline"/>
    <w:basedOn w:val="Normal"/>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rmalWeb">
    <w:name w:val="Normal (Web)"/>
    <w:basedOn w:val="Normal"/>
    <w:uiPriority w:val="99"/>
    <w:unhideWhenUsed/>
    <w:rsid w:val="006B6134"/>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5346">
      <w:bodyDiv w:val="1"/>
      <w:marLeft w:val="0"/>
      <w:marRight w:val="0"/>
      <w:marTop w:val="0"/>
      <w:marBottom w:val="0"/>
      <w:divBdr>
        <w:top w:val="none" w:sz="0" w:space="0" w:color="auto"/>
        <w:left w:val="none" w:sz="0" w:space="0" w:color="auto"/>
        <w:bottom w:val="none" w:sz="0" w:space="0" w:color="auto"/>
        <w:right w:val="none" w:sz="0" w:space="0" w:color="auto"/>
      </w:divBdr>
      <w:divsChild>
        <w:div w:id="92133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edward.bosque01@gmail.com</dc:creator>
  <cp:lastModifiedBy>edward.bosque01@gmail.com</cp:lastModifiedBy>
  <cp:revision>1</cp:revision>
  <dcterms:created xsi:type="dcterms:W3CDTF">2020-04-22T09:03:00Z</dcterms:created>
  <dcterms:modified xsi:type="dcterms:W3CDTF">2020-04-22T09:04:00Z</dcterms:modified>
</cp:coreProperties>
</file>